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 w:rsidP="005B70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238A3">
              <w:rPr>
                <w:sz w:val="32"/>
                <w:szCs w:val="32"/>
              </w:rPr>
              <w:t xml:space="preserve">      </w:t>
            </w:r>
            <w:r w:rsidR="005B7069">
              <w:rPr>
                <w:sz w:val="32"/>
                <w:szCs w:val="32"/>
              </w:rPr>
              <w:t>Hazardous Body Fluid Displays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5B7069">
        <w:rPr>
          <w:b/>
          <w:sz w:val="22"/>
          <w:szCs w:val="22"/>
        </w:rPr>
        <w:t xml:space="preserve"> EHS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5B7069">
        <w:rPr>
          <w:b/>
          <w:sz w:val="22"/>
          <w:szCs w:val="22"/>
        </w:rPr>
        <w:t xml:space="preserve"> EHS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5B7069">
            <w:r>
              <w:t>IR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5B7069">
            <w:r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5B7069">
            <w:r>
              <w:t>06/19/2019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74103A">
            <w:pPr>
              <w:widowControl/>
            </w:pPr>
            <w:r>
              <w:rPr>
                <w:sz w:val="22"/>
                <w:szCs w:val="22"/>
              </w:rPr>
              <w:t xml:space="preserve">To ensure safety of displays that are potentially dangerous </w:t>
            </w:r>
            <w:r w:rsidR="005B7069">
              <w:rPr>
                <w:sz w:val="22"/>
                <w:szCs w:val="22"/>
              </w:rPr>
              <w:t xml:space="preserve">that utilize body fluids </w:t>
            </w:r>
            <w:r>
              <w:rPr>
                <w:sz w:val="22"/>
                <w:szCs w:val="22"/>
              </w:rPr>
              <w:t>while allowing the expression and/or the transfer of knowledge.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7B57D6">
            <w:pPr>
              <w:widowControl/>
            </w:pPr>
            <w:r>
              <w:t>Display – a performance, show, or event intended for public entertainment.</w:t>
            </w:r>
          </w:p>
          <w:p w:rsidR="007B57D6" w:rsidRDefault="007B57D6" w:rsidP="009C0543">
            <w:pPr>
              <w:widowControl/>
            </w:pPr>
            <w:r>
              <w:t xml:space="preserve">Hazard – </w:t>
            </w:r>
            <w:r w:rsidR="009C0543">
              <w:t>the potential to put one or others in danger and/or at risk.</w:t>
            </w:r>
          </w:p>
          <w:p w:rsidR="009C0543" w:rsidRDefault="009C0543" w:rsidP="009C0543">
            <w:pPr>
              <w:widowControl/>
            </w:pPr>
            <w:r>
              <w:t>EHS – Environmental Health and Safety</w:t>
            </w:r>
          </w:p>
          <w:p w:rsidR="009C0543" w:rsidRDefault="00FA0CE4" w:rsidP="009C0543">
            <w:pPr>
              <w:widowControl/>
            </w:pPr>
            <w:r>
              <w:t>Risk – Risk Management &amp; SOU Insurance Coverage</w:t>
            </w:r>
          </w:p>
          <w:p w:rsidR="004428BE" w:rsidRDefault="004428BE" w:rsidP="009C0543">
            <w:pPr>
              <w:widowControl/>
            </w:pPr>
            <w:r>
              <w:t>PO – Provost Office</w:t>
            </w:r>
          </w:p>
          <w:p w:rsidR="004428BE" w:rsidRDefault="004428BE" w:rsidP="009C0543">
            <w:pPr>
              <w:widowControl/>
            </w:pPr>
            <w:r>
              <w:t>HR – Human Resource</w:t>
            </w:r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4428BE" w:rsidRDefault="009C0543">
            <w:pPr>
              <w:widowControl/>
            </w:pPr>
            <w:r>
              <w:t xml:space="preserve">Performance </w:t>
            </w:r>
            <w:r w:rsidR="004428BE">
              <w:t>and/or display summaries</w:t>
            </w:r>
            <w:r>
              <w:t xml:space="preserve"> that </w:t>
            </w:r>
            <w:r w:rsidR="00FA0CE4">
              <w:t xml:space="preserve">could and/or do </w:t>
            </w:r>
            <w:r>
              <w:t>pose a hazard will be reviewed by Risk, EHS</w:t>
            </w:r>
            <w:r w:rsidR="004428BE">
              <w:t>, PO, HR</w:t>
            </w:r>
            <w:r>
              <w:t xml:space="preserve"> and </w:t>
            </w:r>
            <w:r w:rsidR="00FA0CE4">
              <w:t>other pertinent parties</w:t>
            </w:r>
            <w:r w:rsidR="006153D1">
              <w:t xml:space="preserve"> for approval</w:t>
            </w:r>
            <w:r w:rsidR="00FA0CE4">
              <w:t>.</w:t>
            </w:r>
          </w:p>
          <w:p w:rsidR="004428BE" w:rsidRDefault="004428BE">
            <w:pPr>
              <w:widowControl/>
            </w:pPr>
          </w:p>
          <w:p w:rsidR="005B7069" w:rsidRDefault="00FA0CE4">
            <w:pPr>
              <w:widowControl/>
            </w:pPr>
            <w:r>
              <w:t xml:space="preserve">Static displays utilizing body fluids </w:t>
            </w:r>
            <w:proofErr w:type="gramStart"/>
            <w:r>
              <w:t>will be sealed with chemical sealers and incased behin</w:t>
            </w:r>
            <w:r w:rsidR="006153D1">
              <w:t>d glass or similar substance</w:t>
            </w:r>
            <w:proofErr w:type="gramEnd"/>
            <w:r w:rsidR="006153D1">
              <w:t xml:space="preserve">. </w:t>
            </w:r>
            <w:r w:rsidR="005B7069">
              <w:t>Display will be stored offsite after event or disposed of a bio-waste in accordance with bio-waste disposal procedures. Contact EHS with any questions about disposal.</w:t>
            </w:r>
          </w:p>
          <w:p w:rsidR="005B7069" w:rsidRDefault="005B7069">
            <w:pPr>
              <w:widowControl/>
            </w:pPr>
          </w:p>
          <w:p w:rsidR="00616159" w:rsidRDefault="006153D1">
            <w:pPr>
              <w:widowControl/>
            </w:pPr>
            <w:r>
              <w:t xml:space="preserve">Performance displays </w:t>
            </w:r>
            <w:r w:rsidR="005B7069">
              <w:t>(</w:t>
            </w:r>
            <w:proofErr w:type="spellStart"/>
            <w:r w:rsidR="005B7069">
              <w:t>Pd</w:t>
            </w:r>
            <w:proofErr w:type="spellEnd"/>
            <w:r w:rsidR="005B7069">
              <w:t xml:space="preserve">) </w:t>
            </w:r>
            <w:r>
              <w:t>utilizing body fluids</w:t>
            </w:r>
            <w:bookmarkStart w:id="0" w:name="_GoBack"/>
            <w:bookmarkEnd w:id="0"/>
            <w:r>
              <w:t xml:space="preserve"> will be limited to ensure potential exposures </w:t>
            </w:r>
            <w:proofErr w:type="gramStart"/>
            <w:r>
              <w:t>are eliminated</w:t>
            </w:r>
            <w:proofErr w:type="gramEnd"/>
            <w:r>
              <w:t xml:space="preserve"> as best as possible.</w:t>
            </w:r>
            <w:r w:rsidR="005B7069">
              <w:t xml:space="preserve"> </w:t>
            </w:r>
            <w:proofErr w:type="spellStart"/>
            <w:r w:rsidR="005B7069">
              <w:t>Pd</w:t>
            </w:r>
            <w:proofErr w:type="spellEnd"/>
            <w:r w:rsidR="005B7069">
              <w:t xml:space="preserve"> if approved </w:t>
            </w:r>
            <w:proofErr w:type="gramStart"/>
            <w:r w:rsidR="005B7069">
              <w:t>are recommended</w:t>
            </w:r>
            <w:proofErr w:type="gramEnd"/>
            <w:r w:rsidR="005B7069">
              <w:t xml:space="preserve"> to be performed using video systems instead of a live display. If video </w:t>
            </w:r>
            <w:proofErr w:type="spellStart"/>
            <w:r w:rsidR="005B7069">
              <w:t>Pd</w:t>
            </w:r>
            <w:proofErr w:type="spellEnd"/>
            <w:r w:rsidR="005B7069">
              <w:t xml:space="preserve"> is not an </w:t>
            </w:r>
            <w:proofErr w:type="gramStart"/>
            <w:r w:rsidR="005B7069">
              <w:t>option</w:t>
            </w:r>
            <w:proofErr w:type="gramEnd"/>
            <w:r w:rsidR="005B7069">
              <w:t xml:space="preserve"> audience will be separated by a minimum of 20 feet from performance. Fluids will be disposed </w:t>
            </w:r>
            <w:proofErr w:type="gramStart"/>
            <w:r w:rsidR="005B7069">
              <w:t>of  cleaned</w:t>
            </w:r>
            <w:proofErr w:type="gramEnd"/>
            <w:r w:rsidR="005B7069">
              <w:t xml:space="preserve"> up and disposed of properly by trained personnel. Contact EHS with any needed training or questions.</w:t>
            </w:r>
            <w:r>
              <w:t xml:space="preserve">   </w:t>
            </w:r>
            <w:r w:rsidR="00FA0CE4">
              <w:t xml:space="preserve"> </w:t>
            </w:r>
          </w:p>
          <w:p w:rsidR="00616159" w:rsidRDefault="00616159">
            <w:pPr>
              <w:ind w:left="720"/>
            </w:pPr>
          </w:p>
          <w:p w:rsidR="00616159" w:rsidRDefault="00616159">
            <w:pPr>
              <w:ind w:left="72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:rsidR="00616159" w:rsidRDefault="00616159"/>
    <w:sectPr w:rsidR="00616159">
      <w:footerReference w:type="default" r:id="rId7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A1" w:rsidRDefault="003778F4">
      <w:r>
        <w:separator/>
      </w:r>
    </w:p>
  </w:endnote>
  <w:endnote w:type="continuationSeparator" w:id="0">
    <w:p w:rsidR="00AB77A1" w:rsidRDefault="003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A1" w:rsidRDefault="003778F4">
      <w:r>
        <w:separator/>
      </w:r>
    </w:p>
  </w:footnote>
  <w:footnote w:type="continuationSeparator" w:id="0">
    <w:p w:rsidR="00AB77A1" w:rsidRDefault="0037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9"/>
    <w:rsid w:val="000B269B"/>
    <w:rsid w:val="003778F4"/>
    <w:rsid w:val="004428BE"/>
    <w:rsid w:val="005B7069"/>
    <w:rsid w:val="006153D1"/>
    <w:rsid w:val="00616159"/>
    <w:rsid w:val="006E4132"/>
    <w:rsid w:val="007238A3"/>
    <w:rsid w:val="0074103A"/>
    <w:rsid w:val="007B57D6"/>
    <w:rsid w:val="009C0543"/>
    <w:rsid w:val="00AB77A1"/>
    <w:rsid w:val="00AD1C08"/>
    <w:rsid w:val="00B15D6C"/>
    <w:rsid w:val="00B358D6"/>
    <w:rsid w:val="00BE74E7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1F20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Russell Deen</cp:lastModifiedBy>
  <cp:revision>5</cp:revision>
  <dcterms:created xsi:type="dcterms:W3CDTF">2019-06-19T23:10:00Z</dcterms:created>
  <dcterms:modified xsi:type="dcterms:W3CDTF">2019-06-20T00:33:00Z</dcterms:modified>
</cp:coreProperties>
</file>