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9B" w:rsidRPr="00F2199B" w:rsidRDefault="00F2199B" w:rsidP="00F2199B">
      <w:pPr>
        <w:tabs>
          <w:tab w:val="left" w:pos="-54"/>
        </w:tabs>
        <w:ind w:left="35"/>
        <w:rPr>
          <w:rFonts w:ascii="Times New Roman" w:eastAsia="Times New Roman" w:hAnsi="Times New Roman" w:cs="Times New Roman"/>
          <w:color w:val="000000"/>
          <w:sz w:val="24"/>
          <w:szCs w:val="24"/>
        </w:rPr>
      </w:pPr>
      <w:r w:rsidRPr="00F2199B">
        <w:rPr>
          <w:rFonts w:ascii="Times New Roman" w:eastAsia="Times New Roman" w:hAnsi="Times New Roman" w:cs="Times New Roman"/>
          <w:b/>
          <w:color w:val="000000"/>
        </w:rPr>
        <w:t>Office:</w:t>
      </w:r>
      <w:r>
        <w:rPr>
          <w:rFonts w:ascii="Times New Roman" w:eastAsia="Times New Roman" w:hAnsi="Times New Roman" w:cs="Times New Roman"/>
          <w:b/>
          <w:color w:val="000000"/>
        </w:rPr>
        <w:t xml:space="preserve"> Environmental Safety, Health and Risk</w:t>
      </w:r>
    </w:p>
    <w:p w:rsidR="00F2199B" w:rsidRPr="00F2199B" w:rsidRDefault="00F2199B" w:rsidP="00F2199B">
      <w:pPr>
        <w:widowControl w:val="0"/>
        <w:tabs>
          <w:tab w:val="left" w:pos="-54"/>
        </w:tabs>
        <w:spacing w:after="0" w:line="240" w:lineRule="auto"/>
        <w:ind w:left="35"/>
        <w:rPr>
          <w:rFonts w:ascii="Times New Roman" w:eastAsia="Times New Roman" w:hAnsi="Times New Roman" w:cs="Times New Roman"/>
          <w:color w:val="000000"/>
          <w:sz w:val="24"/>
          <w:szCs w:val="24"/>
        </w:rPr>
      </w:pPr>
      <w:r w:rsidRPr="00F2199B">
        <w:rPr>
          <w:rFonts w:ascii="Times New Roman" w:eastAsia="Times New Roman" w:hAnsi="Times New Roman" w:cs="Times New Roman"/>
          <w:b/>
          <w:color w:val="000000"/>
        </w:rPr>
        <w:t>Procedure Contact:</w:t>
      </w:r>
      <w:r>
        <w:rPr>
          <w:rFonts w:ascii="Times New Roman" w:eastAsia="Times New Roman" w:hAnsi="Times New Roman" w:cs="Times New Roman"/>
          <w:b/>
          <w:color w:val="000000"/>
        </w:rPr>
        <w:t xml:space="preserve"> Russell Deen</w:t>
      </w:r>
    </w:p>
    <w:p w:rsidR="00F2199B" w:rsidRDefault="00F2199B" w:rsidP="00F2199B">
      <w:pPr>
        <w:widowControl w:val="0"/>
        <w:tabs>
          <w:tab w:val="left" w:pos="-54"/>
        </w:tabs>
        <w:spacing w:after="0" w:line="240" w:lineRule="auto"/>
        <w:ind w:left="35"/>
        <w:rPr>
          <w:rFonts w:ascii="Times New Roman" w:eastAsia="Times New Roman" w:hAnsi="Times New Roman" w:cs="Times New Roman"/>
          <w:b/>
          <w:color w:val="000000"/>
        </w:rPr>
      </w:pPr>
      <w:r w:rsidRPr="00F2199B">
        <w:rPr>
          <w:rFonts w:ascii="Times New Roman" w:eastAsia="Times New Roman" w:hAnsi="Times New Roman" w:cs="Times New Roman"/>
          <w:b/>
          <w:color w:val="000000"/>
        </w:rPr>
        <w:t>Related Policy or Policies:</w:t>
      </w:r>
      <w:r>
        <w:rPr>
          <w:rFonts w:ascii="Times New Roman" w:eastAsia="Times New Roman" w:hAnsi="Times New Roman" w:cs="Times New Roman"/>
          <w:b/>
          <w:color w:val="000000"/>
        </w:rPr>
        <w:t xml:space="preserve"> FAD.032</w:t>
      </w:r>
    </w:p>
    <w:p w:rsidR="00983AD1" w:rsidRDefault="00983AD1" w:rsidP="00F2199B">
      <w:pPr>
        <w:widowControl w:val="0"/>
        <w:tabs>
          <w:tab w:val="left" w:pos="-54"/>
        </w:tabs>
        <w:spacing w:after="0" w:line="240" w:lineRule="auto"/>
        <w:ind w:left="35"/>
        <w:rPr>
          <w:rFonts w:ascii="Times New Roman" w:eastAsia="Times New Roman" w:hAnsi="Times New Roman" w:cs="Times New Roman"/>
          <w:b/>
          <w:color w:val="000000"/>
        </w:rPr>
      </w:pPr>
    </w:p>
    <w:p w:rsidR="00983AD1" w:rsidRPr="00983AD1" w:rsidRDefault="00983AD1" w:rsidP="00983AD1">
      <w:pPr>
        <w:widowControl w:val="0"/>
        <w:spacing w:after="0" w:line="240" w:lineRule="auto"/>
        <w:ind w:left="35"/>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Revision History</w:t>
      </w:r>
    </w:p>
    <w:tbl>
      <w:tblPr>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28"/>
        <w:gridCol w:w="7020"/>
        <w:gridCol w:w="1800"/>
      </w:tblGrid>
      <w:tr w:rsidR="00983AD1" w:rsidRPr="00983AD1" w:rsidTr="004B5E5F">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sidRPr="00983AD1">
              <w:rPr>
                <w:rFonts w:ascii="Times New Roman" w:eastAsia="Times New Roman" w:hAnsi="Times New Roman" w:cs="Times New Roman"/>
                <w:b/>
                <w:color w:val="000000"/>
              </w:rPr>
              <w:t>Date:</w:t>
            </w:r>
          </w:p>
        </w:tc>
      </w:tr>
      <w:tr w:rsidR="00983AD1" w:rsidRPr="00983AD1" w:rsidTr="004B5E5F">
        <w:trPr>
          <w:trHeight w:val="220"/>
        </w:trPr>
        <w:tc>
          <w:tcPr>
            <w:tcW w:w="1728"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w:t>
            </w:r>
          </w:p>
        </w:tc>
        <w:tc>
          <w:tcPr>
            <w:tcW w:w="702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Release</w:t>
            </w:r>
          </w:p>
        </w:tc>
        <w:tc>
          <w:tcPr>
            <w:tcW w:w="180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11/10/2016</w:t>
            </w:r>
          </w:p>
        </w:tc>
      </w:tr>
      <w:tr w:rsidR="00983AD1" w:rsidRPr="00983AD1" w:rsidTr="004B5E5F">
        <w:trPr>
          <w:trHeight w:val="220"/>
        </w:trPr>
        <w:tc>
          <w:tcPr>
            <w:tcW w:w="1728"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p>
        </w:tc>
        <w:tc>
          <w:tcPr>
            <w:tcW w:w="702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p>
        </w:tc>
        <w:tc>
          <w:tcPr>
            <w:tcW w:w="1800" w:type="dxa"/>
            <w:tcBorders>
              <w:bottom w:val="single" w:sz="4" w:space="0" w:color="808080"/>
            </w:tcBorders>
            <w:tcMar>
              <w:top w:w="43" w:type="dxa"/>
              <w:left w:w="43" w:type="dxa"/>
              <w:bottom w:w="43" w:type="dxa"/>
              <w:right w:w="43" w:type="dxa"/>
            </w:tcMar>
            <w:vAlign w:val="center"/>
          </w:tcPr>
          <w:p w:rsidR="00983AD1" w:rsidRPr="00983AD1" w:rsidRDefault="00983AD1" w:rsidP="00983AD1">
            <w:pPr>
              <w:widowControl w:val="0"/>
              <w:spacing w:after="0" w:line="240" w:lineRule="auto"/>
              <w:rPr>
                <w:rFonts w:ascii="Times New Roman" w:eastAsia="Times New Roman" w:hAnsi="Times New Roman" w:cs="Times New Roman"/>
                <w:color w:val="000000"/>
                <w:sz w:val="24"/>
                <w:szCs w:val="24"/>
              </w:rPr>
            </w:pPr>
          </w:p>
        </w:tc>
      </w:tr>
    </w:tbl>
    <w:p w:rsidR="00983AD1" w:rsidRPr="00F2199B" w:rsidRDefault="00983AD1" w:rsidP="00F2199B">
      <w:pPr>
        <w:widowControl w:val="0"/>
        <w:tabs>
          <w:tab w:val="left" w:pos="-54"/>
        </w:tabs>
        <w:spacing w:after="0" w:line="240" w:lineRule="auto"/>
        <w:ind w:left="35"/>
        <w:rPr>
          <w:rFonts w:ascii="Times New Roman" w:eastAsia="Times New Roman" w:hAnsi="Times New Roman" w:cs="Times New Roman"/>
          <w:color w:val="000000"/>
          <w:sz w:val="24"/>
          <w:szCs w:val="24"/>
        </w:rPr>
      </w:pPr>
    </w:p>
    <w:p w:rsidR="00983AD1" w:rsidRPr="00983AD1" w:rsidRDefault="00983AD1" w:rsidP="00983AD1">
      <w:pPr>
        <w:pStyle w:val="ListParagraph"/>
        <w:numPr>
          <w:ilvl w:val="0"/>
          <w:numId w:val="4"/>
        </w:numPr>
        <w:shd w:val="clear" w:color="auto" w:fill="FFFFFF"/>
        <w:rPr>
          <w:rFonts w:ascii="Times New Roman" w:hAnsi="Times New Roman" w:cs="Times New Roman"/>
          <w:sz w:val="24"/>
          <w:szCs w:val="24"/>
        </w:rPr>
      </w:pPr>
      <w:r w:rsidRPr="00983AD1">
        <w:rPr>
          <w:rFonts w:ascii="Times New Roman" w:hAnsi="Times New Roman" w:cs="Times New Roman"/>
          <w:b/>
        </w:rPr>
        <w:t>Purpose</w:t>
      </w:r>
      <w:r w:rsidRPr="00983AD1">
        <w:rPr>
          <w:rFonts w:ascii="Times New Roman" w:hAnsi="Times New Roman" w:cs="Times New Roman"/>
          <w:sz w:val="24"/>
          <w:szCs w:val="24"/>
        </w:rPr>
        <w:t xml:space="preserve"> </w:t>
      </w:r>
    </w:p>
    <w:p w:rsidR="00F2199B" w:rsidRDefault="00983AD1" w:rsidP="00983AD1">
      <w:pPr>
        <w:pStyle w:val="ListParagraph"/>
        <w:shd w:val="clear" w:color="auto" w:fill="FFFFFF"/>
        <w:ind w:left="1080"/>
        <w:rPr>
          <w:sz w:val="24"/>
          <w:szCs w:val="24"/>
        </w:rPr>
      </w:pPr>
      <w:r w:rsidRPr="00983AD1">
        <w:rPr>
          <w:sz w:val="24"/>
          <w:szCs w:val="24"/>
        </w:rPr>
        <w:t>To give g</w:t>
      </w:r>
      <w:r w:rsidR="00E05D99">
        <w:rPr>
          <w:sz w:val="24"/>
          <w:szCs w:val="24"/>
        </w:rPr>
        <w:t>uidance for work involving lead base paint during repair or renovation</w:t>
      </w:r>
      <w:r w:rsidRPr="00983AD1">
        <w:rPr>
          <w:sz w:val="24"/>
          <w:szCs w:val="24"/>
        </w:rPr>
        <w:t>.</w:t>
      </w:r>
    </w:p>
    <w:p w:rsidR="00983AD1" w:rsidRPr="00983AD1" w:rsidRDefault="00983AD1" w:rsidP="00983AD1">
      <w:pPr>
        <w:pStyle w:val="ListParagraph"/>
        <w:widowControl w:val="0"/>
        <w:numPr>
          <w:ilvl w:val="0"/>
          <w:numId w:val="4"/>
        </w:numPr>
        <w:spacing w:after="0" w:line="240" w:lineRule="auto"/>
        <w:rPr>
          <w:rFonts w:ascii="Times New Roman" w:eastAsia="Times New Roman" w:hAnsi="Times New Roman" w:cs="Times New Roman"/>
          <w:b/>
          <w:color w:val="000000"/>
        </w:rPr>
      </w:pPr>
      <w:r w:rsidRPr="00983AD1">
        <w:rPr>
          <w:rFonts w:ascii="Times New Roman" w:eastAsia="Times New Roman" w:hAnsi="Times New Roman" w:cs="Times New Roman"/>
          <w:b/>
          <w:color w:val="000000"/>
        </w:rPr>
        <w:t>Definitions</w:t>
      </w:r>
    </w:p>
    <w:p w:rsidR="00983AD1" w:rsidRDefault="00E05D99" w:rsidP="00983AD1">
      <w:pPr>
        <w:pStyle w:val="ListParagraph"/>
        <w:widowControl w:val="0"/>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Lead base paint was used for painting and poses a hazard to individuals when handling lead based paint</w:t>
      </w:r>
      <w:r w:rsidR="00983AD1" w:rsidRPr="00983AD1">
        <w:rPr>
          <w:rFonts w:ascii="Times New Roman" w:eastAsia="Times New Roman" w:hAnsi="Times New Roman" w:cs="Times New Roman"/>
          <w:color w:val="000000"/>
        </w:rPr>
        <w:t xml:space="preserve">. </w:t>
      </w:r>
    </w:p>
    <w:p w:rsidR="006F6E7A" w:rsidRPr="006F6E7A" w:rsidRDefault="006F6E7A" w:rsidP="006F6E7A">
      <w:pPr>
        <w:widowControl w:val="0"/>
        <w:spacing w:after="0" w:line="240" w:lineRule="auto"/>
        <w:ind w:firstLine="720"/>
        <w:rPr>
          <w:rFonts w:ascii="Times New Roman" w:eastAsia="Times New Roman" w:hAnsi="Times New Roman" w:cs="Times New Roman"/>
          <w:color w:val="000000"/>
          <w:sz w:val="24"/>
          <w:szCs w:val="24"/>
        </w:rPr>
      </w:pPr>
      <w:r w:rsidRPr="006F6E7A">
        <w:rPr>
          <w:rFonts w:ascii="Times New Roman" w:eastAsia="Times New Roman" w:hAnsi="Times New Roman" w:cs="Times New Roman"/>
          <w:b/>
          <w:color w:val="000000"/>
        </w:rPr>
        <w:t>C. Procedures</w:t>
      </w:r>
    </w:p>
    <w:p w:rsidR="00E05D99" w:rsidRDefault="00E05D99" w:rsidP="00E05D99">
      <w:pPr>
        <w:rPr>
          <w:sz w:val="24"/>
          <w:szCs w:val="24"/>
        </w:rPr>
      </w:pPr>
      <w:r w:rsidRPr="004F02E8">
        <w:rPr>
          <w:sz w:val="24"/>
          <w:szCs w:val="24"/>
        </w:rPr>
        <w:t>Southern Oregon University Lead-Based Paint (LBP) Activities Guide Perform all work that impacts lead-based paint or lead-containing paint in strict accordance with all applicable Federal, State, and Local regulations. Applicable regulations will vary based on the project type, building type, and scope of work, and may include (but are not limited to):</w:t>
      </w:r>
    </w:p>
    <w:p w:rsidR="00E05D99" w:rsidRDefault="00E05D99" w:rsidP="00E05D99">
      <w:pPr>
        <w:pStyle w:val="ListParagraph"/>
        <w:numPr>
          <w:ilvl w:val="0"/>
          <w:numId w:val="5"/>
        </w:numPr>
        <w:rPr>
          <w:sz w:val="24"/>
          <w:szCs w:val="24"/>
        </w:rPr>
      </w:pPr>
      <w:r w:rsidRPr="004F02E8">
        <w:rPr>
          <w:sz w:val="24"/>
          <w:szCs w:val="24"/>
        </w:rPr>
        <w:t xml:space="preserve">EPA Renovate, Repair, and Painting Program </w:t>
      </w:r>
    </w:p>
    <w:p w:rsidR="00E05D99" w:rsidRDefault="00E05D99" w:rsidP="00E05D99">
      <w:pPr>
        <w:pStyle w:val="ListParagraph"/>
        <w:numPr>
          <w:ilvl w:val="0"/>
          <w:numId w:val="5"/>
        </w:numPr>
        <w:rPr>
          <w:sz w:val="24"/>
          <w:szCs w:val="24"/>
        </w:rPr>
      </w:pPr>
      <w:r w:rsidRPr="004F02E8">
        <w:rPr>
          <w:sz w:val="24"/>
          <w:szCs w:val="24"/>
        </w:rPr>
        <w:t>OAR 437, Division 2</w:t>
      </w:r>
    </w:p>
    <w:p w:rsidR="00E05D99" w:rsidRDefault="00E05D99" w:rsidP="00E05D99">
      <w:pPr>
        <w:pStyle w:val="ListParagraph"/>
        <w:numPr>
          <w:ilvl w:val="0"/>
          <w:numId w:val="5"/>
        </w:numPr>
        <w:rPr>
          <w:sz w:val="24"/>
          <w:szCs w:val="24"/>
        </w:rPr>
      </w:pPr>
      <w:r w:rsidRPr="004F02E8">
        <w:rPr>
          <w:sz w:val="24"/>
          <w:szCs w:val="24"/>
        </w:rPr>
        <w:t>OAR 437, Division 3</w:t>
      </w:r>
    </w:p>
    <w:p w:rsidR="00E05D99" w:rsidRDefault="00E05D99" w:rsidP="00E05D99">
      <w:pPr>
        <w:pStyle w:val="ListParagraph"/>
        <w:numPr>
          <w:ilvl w:val="0"/>
          <w:numId w:val="5"/>
        </w:numPr>
        <w:rPr>
          <w:sz w:val="24"/>
          <w:szCs w:val="24"/>
        </w:rPr>
      </w:pPr>
      <w:r w:rsidRPr="004F02E8">
        <w:rPr>
          <w:sz w:val="24"/>
          <w:szCs w:val="24"/>
        </w:rPr>
        <w:t>HUD Lead-Safe Housing Rule</w:t>
      </w:r>
    </w:p>
    <w:p w:rsidR="00E05D99" w:rsidRDefault="00E05D99" w:rsidP="00E05D99">
      <w:pPr>
        <w:pStyle w:val="ListParagraph"/>
        <w:numPr>
          <w:ilvl w:val="0"/>
          <w:numId w:val="5"/>
        </w:numPr>
        <w:rPr>
          <w:sz w:val="24"/>
          <w:szCs w:val="24"/>
        </w:rPr>
      </w:pPr>
      <w:r w:rsidRPr="004F02E8">
        <w:rPr>
          <w:sz w:val="24"/>
          <w:szCs w:val="24"/>
        </w:rPr>
        <w:t>Southern Oregon University Lead Program</w:t>
      </w:r>
    </w:p>
    <w:p w:rsidR="00E05D99" w:rsidRDefault="00E05D99" w:rsidP="00E05D99">
      <w:pPr>
        <w:pStyle w:val="ListParagraph"/>
        <w:ind w:left="480"/>
        <w:rPr>
          <w:sz w:val="24"/>
          <w:szCs w:val="24"/>
        </w:rPr>
      </w:pPr>
      <w:r w:rsidRPr="004F02E8">
        <w:rPr>
          <w:sz w:val="24"/>
          <w:szCs w:val="24"/>
        </w:rPr>
        <w:t xml:space="preserve">Requirements for Collecting, Containerizing, Storing, and Disposing Lead-Based Paint Waste and Debris Contractor shall collect LBP waste and deposit into waste containers (Figure 1) no less often than at the end of each work day, or as weather requires collection to prevent spread of paint waste and debris. Environmental Health and Safety (EHS), (541) </w:t>
      </w:r>
      <w:r>
        <w:rPr>
          <w:sz w:val="24"/>
          <w:szCs w:val="24"/>
        </w:rPr>
        <w:t>552-8624</w:t>
      </w:r>
      <w:r w:rsidRPr="004F02E8">
        <w:rPr>
          <w:sz w:val="24"/>
          <w:szCs w:val="24"/>
        </w:rPr>
        <w:t xml:space="preserve">, may have containers available for use. Contractor shall exercise diligence in not combining LBP waste and debris with non-lead-based paint waste and debris. Plastic sheeting and other barrier/collection material shall be HEPA vacuumed or wet cleaned so that they do not become LBP waste. Contractor shall keep containers closed except when depositing LBP and debris. Contractor shall keep all container labels intact and legible (Figure 2), replacing any that become defaced. Contractor shall, to the extent practicable, keep LPB waste and debris containers, out of the weather and secure by either covering containers with plastic or storing containers inside. Contractor shall contact EHS (541) </w:t>
      </w:r>
      <w:r>
        <w:rPr>
          <w:sz w:val="24"/>
          <w:szCs w:val="24"/>
        </w:rPr>
        <w:t xml:space="preserve">552-8624 </w:t>
      </w:r>
      <w:r w:rsidRPr="004F02E8">
        <w:rPr>
          <w:sz w:val="24"/>
          <w:szCs w:val="24"/>
        </w:rPr>
        <w:t>when the waste containe</w:t>
      </w:r>
      <w:r>
        <w:rPr>
          <w:sz w:val="24"/>
          <w:szCs w:val="24"/>
        </w:rPr>
        <w:t>r is full to arrange a drop-off</w:t>
      </w:r>
      <w:r w:rsidRPr="004F02E8">
        <w:rPr>
          <w:sz w:val="24"/>
          <w:szCs w:val="24"/>
        </w:rPr>
        <w:t xml:space="preserve">, or a pick-up of material. Large Item Disposal Contractors should use Oregon DEQ guidance 1997-PO-002A when choosing disposal sites. This applies if EHS cannot accept materials due to their size e.g. whole painted window sills, doors, or other bulky materials intended for disposal rather than lead </w:t>
      </w:r>
      <w:r w:rsidRPr="004F02E8">
        <w:rPr>
          <w:sz w:val="24"/>
          <w:szCs w:val="24"/>
        </w:rPr>
        <w:lastRenderedPageBreak/>
        <w:t xml:space="preserve">abatement. This material must be destined for a lined landfill complying with all parts of 40 CFR 258. </w:t>
      </w:r>
    </w:p>
    <w:p w:rsidR="00E05D99" w:rsidRDefault="00E05D99" w:rsidP="00E05D99">
      <w:pPr>
        <w:pStyle w:val="ListParagraph"/>
        <w:ind w:left="480"/>
        <w:rPr>
          <w:sz w:val="24"/>
          <w:szCs w:val="24"/>
        </w:rPr>
      </w:pPr>
      <w:r w:rsidRPr="005F3A59">
        <w:rPr>
          <w:sz w:val="24"/>
          <w:szCs w:val="24"/>
        </w:rPr>
        <w:t>Southern Oregon University</w:t>
      </w:r>
      <w:r>
        <w:rPr>
          <w:sz w:val="24"/>
          <w:szCs w:val="24"/>
        </w:rPr>
        <w:t xml:space="preserve"> O</w:t>
      </w:r>
      <w:r w:rsidRPr="004F02E8">
        <w:rPr>
          <w:sz w:val="24"/>
          <w:szCs w:val="24"/>
        </w:rPr>
        <w:t xml:space="preserve">wners Representative </w:t>
      </w:r>
      <w:proofErr w:type="gramStart"/>
      <w:r w:rsidRPr="004F02E8">
        <w:rPr>
          <w:sz w:val="24"/>
          <w:szCs w:val="24"/>
        </w:rPr>
        <w:t>name:_</w:t>
      </w:r>
      <w:proofErr w:type="gramEnd"/>
      <w:r w:rsidRPr="004F02E8">
        <w:rPr>
          <w:sz w:val="24"/>
          <w:szCs w:val="24"/>
        </w:rPr>
        <w:t xml:space="preserve">_______________________ </w:t>
      </w:r>
    </w:p>
    <w:p w:rsidR="00E05D99" w:rsidRDefault="00E05D99" w:rsidP="00E05D99">
      <w:pPr>
        <w:pStyle w:val="ListParagraph"/>
        <w:ind w:left="480"/>
        <w:rPr>
          <w:sz w:val="24"/>
          <w:szCs w:val="24"/>
        </w:rPr>
      </w:pPr>
      <w:r w:rsidRPr="004F02E8">
        <w:rPr>
          <w:sz w:val="24"/>
          <w:szCs w:val="24"/>
        </w:rPr>
        <w:t>Email: ___________________________________ Phone: ___________________</w:t>
      </w:r>
    </w:p>
    <w:p w:rsidR="00E05D99" w:rsidRDefault="00E05D99" w:rsidP="00E05D99">
      <w:pPr>
        <w:pStyle w:val="ListParagraph"/>
        <w:ind w:left="480"/>
        <w:rPr>
          <w:sz w:val="24"/>
          <w:szCs w:val="24"/>
        </w:rPr>
      </w:pPr>
      <w:r>
        <w:rPr>
          <w:sz w:val="24"/>
          <w:szCs w:val="24"/>
        </w:rPr>
        <w:t>Figure 1.</w:t>
      </w:r>
    </w:p>
    <w:p w:rsidR="00F85881" w:rsidRPr="00983AD1" w:rsidRDefault="00E05D99" w:rsidP="00F2199B">
      <w:pPr>
        <w:rPr>
          <w:rFonts w:ascii="Times New Roman" w:hAnsi="Times New Roman" w:cs="Times New Roman"/>
          <w:sz w:val="20"/>
          <w:szCs w:val="20"/>
        </w:rPr>
      </w:pPr>
      <w:r>
        <w:rPr>
          <w:noProof/>
        </w:rPr>
        <w:drawing>
          <wp:inline distT="0" distB="0" distL="0" distR="0" wp14:anchorId="4E8B10DC" wp14:editId="48129BFE">
            <wp:extent cx="2620645" cy="2620645"/>
            <wp:effectExtent l="0" t="0" r="8255" b="8255"/>
            <wp:docPr id="2" name="img" descr="http://i21.geccdn.net/site/images/n-picgroup/NM_H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i21.geccdn.net/site/images/n-picgroup/NM_HW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645" cy="2620645"/>
                    </a:xfrm>
                    <a:prstGeom prst="rect">
                      <a:avLst/>
                    </a:prstGeom>
                    <a:noFill/>
                    <a:ln>
                      <a:noFill/>
                    </a:ln>
                  </pic:spPr>
                </pic:pic>
              </a:graphicData>
            </a:graphic>
          </wp:inline>
        </w:drawing>
      </w:r>
      <w:bookmarkStart w:id="0" w:name="_GoBack"/>
      <w:bookmarkEnd w:id="0"/>
    </w:p>
    <w:sectPr w:rsidR="00F85881" w:rsidRPr="00983A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31" w:rsidRDefault="00F70231" w:rsidP="00660A6A">
      <w:pPr>
        <w:spacing w:after="0" w:line="240" w:lineRule="auto"/>
      </w:pPr>
      <w:r>
        <w:separator/>
      </w:r>
    </w:p>
  </w:endnote>
  <w:endnote w:type="continuationSeparator" w:id="0">
    <w:p w:rsidR="00F70231" w:rsidRDefault="00F70231" w:rsidP="0066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31" w:rsidRDefault="00F70231" w:rsidP="00660A6A">
      <w:pPr>
        <w:spacing w:after="0" w:line="240" w:lineRule="auto"/>
      </w:pPr>
      <w:r>
        <w:separator/>
      </w:r>
    </w:p>
  </w:footnote>
  <w:footnote w:type="continuationSeparator" w:id="0">
    <w:p w:rsidR="00F70231" w:rsidRDefault="00F70231" w:rsidP="00660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6A" w:rsidRPr="00660A6A" w:rsidRDefault="00F2199B">
    <w:pPr>
      <w:pStyle w:val="Header"/>
      <w:rPr>
        <w:color w:val="FF0000"/>
        <w:sz w:val="40"/>
      </w:rPr>
    </w:pPr>
    <w:r>
      <w:rPr>
        <w:noProof/>
      </w:rPr>
      <w:drawing>
        <wp:anchor distT="0" distB="0" distL="114300" distR="114300" simplePos="0" relativeHeight="251659264" behindDoc="0" locked="0" layoutInCell="0" hidden="0" allowOverlap="1" wp14:anchorId="3D0A89D7" wp14:editId="5856DD3D">
          <wp:simplePos x="0" y="0"/>
          <wp:positionH relativeFrom="margin">
            <wp:posOffset>-542925</wp:posOffset>
          </wp:positionH>
          <wp:positionV relativeFrom="paragraph">
            <wp:posOffset>-304800</wp:posOffset>
          </wp:positionV>
          <wp:extent cx="937895" cy="23939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937895" cy="239395"/>
                  </a:xfrm>
                  <a:prstGeom prst="rect">
                    <a:avLst/>
                  </a:prstGeom>
                  <a:ln/>
                </pic:spPr>
              </pic:pic>
            </a:graphicData>
          </a:graphic>
        </wp:anchor>
      </w:drawing>
    </w:r>
    <w:r w:rsidR="00660A6A">
      <w:rPr>
        <w:color w:val="FF0000"/>
        <w:sz w:val="40"/>
      </w:rPr>
      <w:t xml:space="preserve">                 </w:t>
    </w:r>
    <w:r w:rsidR="00E05D99">
      <w:rPr>
        <w:color w:val="FF0000"/>
        <w:sz w:val="40"/>
      </w:rPr>
      <w:t xml:space="preserve">Lead Paint Disposal </w:t>
    </w:r>
    <w:proofErr w:type="spellStart"/>
    <w:r w:rsidR="00E05D99">
      <w:rPr>
        <w:color w:val="FF0000"/>
        <w:sz w:val="40"/>
      </w:rPr>
      <w:t>Progam</w:t>
    </w:r>
    <w:proofErr w:type="spellEnd"/>
    <w:r>
      <w:rPr>
        <w:color w:val="FF0000"/>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4AA"/>
    <w:multiLevelType w:val="hybridMultilevel"/>
    <w:tmpl w:val="8C02B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CC2489"/>
    <w:multiLevelType w:val="hybridMultilevel"/>
    <w:tmpl w:val="D302969A"/>
    <w:lvl w:ilvl="0" w:tplc="53C2C91C">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D25EB3"/>
    <w:multiLevelType w:val="multilevel"/>
    <w:tmpl w:val="7A2442C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56930FAB"/>
    <w:multiLevelType w:val="hybridMultilevel"/>
    <w:tmpl w:val="7972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C5E92"/>
    <w:multiLevelType w:val="hybridMultilevel"/>
    <w:tmpl w:val="B0461912"/>
    <w:lvl w:ilvl="0" w:tplc="A2F03824">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6A"/>
    <w:rsid w:val="0015526A"/>
    <w:rsid w:val="00266C32"/>
    <w:rsid w:val="00660A6A"/>
    <w:rsid w:val="006F6E7A"/>
    <w:rsid w:val="006F7416"/>
    <w:rsid w:val="00817066"/>
    <w:rsid w:val="00983AD1"/>
    <w:rsid w:val="00E05D99"/>
    <w:rsid w:val="00F2199B"/>
    <w:rsid w:val="00F70231"/>
    <w:rsid w:val="00F8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DB2D"/>
  <w15:chartTrackingRefBased/>
  <w15:docId w15:val="{34BFAC0E-E045-4C7D-957B-09E49B7F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6A"/>
  </w:style>
  <w:style w:type="paragraph" w:styleId="Footer">
    <w:name w:val="footer"/>
    <w:basedOn w:val="Normal"/>
    <w:link w:val="FooterChar"/>
    <w:uiPriority w:val="99"/>
    <w:unhideWhenUsed/>
    <w:rsid w:val="0066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6A"/>
  </w:style>
  <w:style w:type="paragraph" w:styleId="ListParagraph">
    <w:name w:val="List Paragraph"/>
    <w:basedOn w:val="Normal"/>
    <w:uiPriority w:val="34"/>
    <w:qFormat/>
    <w:rsid w:val="00660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9427">
      <w:bodyDiv w:val="1"/>
      <w:marLeft w:val="0"/>
      <w:marRight w:val="0"/>
      <w:marTop w:val="0"/>
      <w:marBottom w:val="0"/>
      <w:divBdr>
        <w:top w:val="none" w:sz="0" w:space="0" w:color="auto"/>
        <w:left w:val="none" w:sz="0" w:space="0" w:color="auto"/>
        <w:bottom w:val="none" w:sz="0" w:space="0" w:color="auto"/>
        <w:right w:val="none" w:sz="0" w:space="0" w:color="auto"/>
      </w:divBdr>
      <w:divsChild>
        <w:div w:id="84863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2</cp:revision>
  <dcterms:created xsi:type="dcterms:W3CDTF">2016-12-12T17:23:00Z</dcterms:created>
  <dcterms:modified xsi:type="dcterms:W3CDTF">2016-12-12T17:23:00Z</dcterms:modified>
</cp:coreProperties>
</file>