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a"/>
        <w:tblW w:w="8820" w:type="dxa"/>
        <w:tblLayout w:type="fixed"/>
        <w:tblLook w:val="0600" w:firstRow="0" w:lastRow="0" w:firstColumn="0" w:lastColumn="0" w:noHBand="1" w:noVBand="1"/>
        <w:tblCaption w:val="Procedure title"/>
      </w:tblPr>
      <w:tblGrid>
        <w:gridCol w:w="8820"/>
      </w:tblGrid>
      <w:tr w:rsidR="00616159">
        <w:trPr>
          <w:trHeight w:val="320"/>
        </w:trPr>
        <w:tc>
          <w:tcPr>
            <w:tcW w:w="8820" w:type="dxa"/>
            <w:shd w:val="clear" w:color="auto" w:fill="FFFFFF"/>
            <w:tcMar>
              <w:left w:w="115" w:type="dxa"/>
              <w:right w:w="115" w:type="dxa"/>
            </w:tcMar>
            <w:vAlign w:val="center"/>
          </w:tcPr>
          <w:p w:rsidR="00616159" w:rsidRDefault="003778F4" w:rsidP="00B61D62">
            <w:r>
              <w:rPr>
                <w:noProof/>
              </w:rPr>
              <w:drawing>
                <wp:anchor distT="0" distB="0" distL="114300" distR="114300" simplePos="0" relativeHeight="251658240" behindDoc="0" locked="0" layoutInCell="0" hidden="0" allowOverlap="1">
                  <wp:simplePos x="0" y="0"/>
                  <wp:positionH relativeFrom="margin">
                    <wp:posOffset>0</wp:posOffset>
                  </wp:positionH>
                  <wp:positionV relativeFrom="paragraph">
                    <wp:posOffset>0</wp:posOffset>
                  </wp:positionV>
                  <wp:extent cx="937895" cy="239395"/>
                  <wp:effectExtent l="0" t="0" r="0" b="8255"/>
                  <wp:wrapSquare wrapText="bothSides" distT="0" distB="0" distL="114300" distR="114300"/>
                  <wp:docPr id="1" name="image01.jpg" title="SOU Logo"/>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a:srcRect/>
                          <a:stretch>
                            <a:fillRect/>
                          </a:stretch>
                        </pic:blipFill>
                        <pic:spPr>
                          <a:xfrm>
                            <a:off x="0" y="0"/>
                            <a:ext cx="937895" cy="239395"/>
                          </a:xfrm>
                          <a:prstGeom prst="rect">
                            <a:avLst/>
                          </a:prstGeom>
                          <a:ln/>
                        </pic:spPr>
                      </pic:pic>
                    </a:graphicData>
                  </a:graphic>
                </wp:anchor>
              </w:drawing>
            </w:r>
            <w:r w:rsidR="007238A3">
              <w:rPr>
                <w:sz w:val="32"/>
                <w:szCs w:val="32"/>
              </w:rPr>
              <w:t xml:space="preserve">      </w:t>
            </w:r>
            <w:r w:rsidR="00B61D62">
              <w:rPr>
                <w:sz w:val="32"/>
                <w:szCs w:val="32"/>
              </w:rPr>
              <w:t>Disinfectants and Sterilization Methods</w:t>
            </w:r>
          </w:p>
        </w:tc>
      </w:tr>
    </w:tbl>
    <w:p w:rsidR="00616159" w:rsidRDefault="00616159">
      <w:pPr>
        <w:tabs>
          <w:tab w:val="left" w:pos="-54"/>
        </w:tabs>
      </w:pPr>
    </w:p>
    <w:p w:rsidR="00616159" w:rsidRDefault="003778F4">
      <w:pPr>
        <w:tabs>
          <w:tab w:val="left" w:pos="-54"/>
        </w:tabs>
        <w:ind w:left="35"/>
      </w:pPr>
      <w:r>
        <w:rPr>
          <w:b/>
          <w:sz w:val="22"/>
          <w:szCs w:val="22"/>
        </w:rPr>
        <w:t>Office:</w:t>
      </w:r>
      <w:r w:rsidR="00492E8F">
        <w:rPr>
          <w:b/>
          <w:sz w:val="22"/>
          <w:szCs w:val="22"/>
        </w:rPr>
        <w:t xml:space="preserve"> EHS</w:t>
      </w:r>
    </w:p>
    <w:p w:rsidR="00616159" w:rsidRDefault="003778F4">
      <w:pPr>
        <w:tabs>
          <w:tab w:val="left" w:pos="-54"/>
        </w:tabs>
        <w:ind w:left="35"/>
      </w:pPr>
      <w:r>
        <w:rPr>
          <w:b/>
          <w:sz w:val="22"/>
          <w:szCs w:val="22"/>
        </w:rPr>
        <w:t>Procedure Contact:</w:t>
      </w:r>
      <w:r w:rsidR="00492E8F">
        <w:rPr>
          <w:b/>
          <w:sz w:val="22"/>
          <w:szCs w:val="22"/>
        </w:rPr>
        <w:t xml:space="preserve"> Russell Deen</w:t>
      </w:r>
    </w:p>
    <w:p w:rsidR="00616159" w:rsidRDefault="003778F4">
      <w:pPr>
        <w:tabs>
          <w:tab w:val="left" w:pos="-54"/>
        </w:tabs>
        <w:ind w:left="35"/>
      </w:pPr>
      <w:r>
        <w:rPr>
          <w:b/>
          <w:sz w:val="22"/>
          <w:szCs w:val="22"/>
        </w:rPr>
        <w:t>Related Policy or Policies:</w:t>
      </w:r>
      <w:r w:rsidR="00AE2312">
        <w:rPr>
          <w:b/>
          <w:sz w:val="22"/>
          <w:szCs w:val="22"/>
        </w:rPr>
        <w:t xml:space="preserve"> Biohazardous Material Science</w:t>
      </w:r>
    </w:p>
    <w:p w:rsidR="00616159" w:rsidRDefault="003778F4" w:rsidP="00B15D6C">
      <w:pPr>
        <w:pStyle w:val="Heading1"/>
      </w:pPr>
      <w:r>
        <w:t>Revision History</w:t>
      </w:r>
    </w:p>
    <w:tbl>
      <w:tblPr>
        <w:tblStyle w:val="a0"/>
        <w:tblW w:w="1054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20" w:firstRow="1" w:lastRow="0" w:firstColumn="0" w:lastColumn="0" w:noHBand="0" w:noVBand="0"/>
        <w:tblCaption w:val="Revision history"/>
      </w:tblPr>
      <w:tblGrid>
        <w:gridCol w:w="1728"/>
        <w:gridCol w:w="7020"/>
        <w:gridCol w:w="1800"/>
      </w:tblGrid>
      <w:tr w:rsidR="00616159" w:rsidTr="00B15D6C">
        <w:trPr>
          <w:trHeight w:val="220"/>
        </w:trPr>
        <w:tc>
          <w:tcPr>
            <w:tcW w:w="1728" w:type="dxa"/>
            <w:tcBorders>
              <w:bottom w:val="single" w:sz="4" w:space="0" w:color="808080"/>
            </w:tcBorders>
            <w:shd w:val="clear" w:color="auto" w:fill="D9D9D9"/>
            <w:tcMar>
              <w:top w:w="43" w:type="dxa"/>
              <w:left w:w="43" w:type="dxa"/>
              <w:bottom w:w="43" w:type="dxa"/>
              <w:right w:w="43" w:type="dxa"/>
            </w:tcMar>
            <w:vAlign w:val="center"/>
          </w:tcPr>
          <w:p w:rsidR="00616159" w:rsidRDefault="003778F4">
            <w:r>
              <w:rPr>
                <w:b/>
                <w:sz w:val="22"/>
                <w:szCs w:val="22"/>
              </w:rPr>
              <w:t>Revision Number:</w:t>
            </w:r>
          </w:p>
        </w:tc>
        <w:tc>
          <w:tcPr>
            <w:tcW w:w="7020" w:type="dxa"/>
            <w:tcBorders>
              <w:bottom w:val="single" w:sz="4" w:space="0" w:color="808080"/>
            </w:tcBorders>
            <w:shd w:val="clear" w:color="auto" w:fill="D9D9D9"/>
            <w:tcMar>
              <w:top w:w="43" w:type="dxa"/>
              <w:left w:w="43" w:type="dxa"/>
              <w:bottom w:w="43" w:type="dxa"/>
              <w:right w:w="43" w:type="dxa"/>
            </w:tcMar>
            <w:vAlign w:val="center"/>
          </w:tcPr>
          <w:p w:rsidR="00616159" w:rsidRDefault="003778F4">
            <w:r>
              <w:rPr>
                <w:b/>
                <w:sz w:val="22"/>
                <w:szCs w:val="22"/>
              </w:rPr>
              <w:t>Change:</w:t>
            </w:r>
          </w:p>
        </w:tc>
        <w:tc>
          <w:tcPr>
            <w:tcW w:w="1800" w:type="dxa"/>
            <w:tcBorders>
              <w:bottom w:val="single" w:sz="4" w:space="0" w:color="808080"/>
            </w:tcBorders>
            <w:shd w:val="clear" w:color="auto" w:fill="D9D9D9"/>
            <w:tcMar>
              <w:top w:w="43" w:type="dxa"/>
              <w:left w:w="43" w:type="dxa"/>
              <w:bottom w:w="43" w:type="dxa"/>
              <w:right w:w="43" w:type="dxa"/>
            </w:tcMar>
            <w:vAlign w:val="center"/>
          </w:tcPr>
          <w:p w:rsidR="00616159" w:rsidRDefault="003778F4">
            <w:r>
              <w:rPr>
                <w:b/>
                <w:sz w:val="22"/>
                <w:szCs w:val="22"/>
              </w:rPr>
              <w:t>Date:</w:t>
            </w:r>
          </w:p>
        </w:tc>
      </w:tr>
      <w:tr w:rsidR="00616159" w:rsidTr="00B15D6C">
        <w:trPr>
          <w:trHeight w:val="220"/>
        </w:trPr>
        <w:tc>
          <w:tcPr>
            <w:tcW w:w="1728" w:type="dxa"/>
            <w:tcBorders>
              <w:bottom w:val="single" w:sz="4" w:space="0" w:color="808080"/>
            </w:tcBorders>
            <w:tcMar>
              <w:top w:w="43" w:type="dxa"/>
              <w:left w:w="43" w:type="dxa"/>
              <w:bottom w:w="43" w:type="dxa"/>
              <w:right w:w="43" w:type="dxa"/>
            </w:tcMar>
            <w:vAlign w:val="center"/>
          </w:tcPr>
          <w:p w:rsidR="00616159" w:rsidRDefault="00616159"/>
        </w:tc>
        <w:tc>
          <w:tcPr>
            <w:tcW w:w="7020" w:type="dxa"/>
            <w:tcBorders>
              <w:bottom w:val="single" w:sz="4" w:space="0" w:color="808080"/>
            </w:tcBorders>
            <w:tcMar>
              <w:top w:w="43" w:type="dxa"/>
              <w:left w:w="43" w:type="dxa"/>
              <w:bottom w:w="43" w:type="dxa"/>
              <w:right w:w="43" w:type="dxa"/>
            </w:tcMar>
            <w:vAlign w:val="center"/>
          </w:tcPr>
          <w:p w:rsidR="00616159" w:rsidRDefault="00CE7C20">
            <w:r>
              <w:t>Initial</w:t>
            </w:r>
          </w:p>
        </w:tc>
        <w:tc>
          <w:tcPr>
            <w:tcW w:w="1800" w:type="dxa"/>
            <w:tcBorders>
              <w:bottom w:val="single" w:sz="4" w:space="0" w:color="808080"/>
            </w:tcBorders>
            <w:tcMar>
              <w:top w:w="43" w:type="dxa"/>
              <w:left w:w="43" w:type="dxa"/>
              <w:bottom w:w="43" w:type="dxa"/>
              <w:right w:w="43" w:type="dxa"/>
            </w:tcMar>
            <w:vAlign w:val="center"/>
          </w:tcPr>
          <w:p w:rsidR="00616159" w:rsidRDefault="00F93C63">
            <w:r>
              <w:t>11/15</w:t>
            </w:r>
            <w:r w:rsidR="00CE7C20">
              <w:t>/2018</w:t>
            </w:r>
          </w:p>
        </w:tc>
      </w:tr>
      <w:tr w:rsidR="00616159" w:rsidTr="00B15D6C">
        <w:trPr>
          <w:trHeight w:val="220"/>
        </w:trPr>
        <w:tc>
          <w:tcPr>
            <w:tcW w:w="1728" w:type="dxa"/>
            <w:tcBorders>
              <w:bottom w:val="single" w:sz="4" w:space="0" w:color="808080"/>
            </w:tcBorders>
            <w:tcMar>
              <w:top w:w="43" w:type="dxa"/>
              <w:left w:w="43" w:type="dxa"/>
              <w:bottom w:w="43" w:type="dxa"/>
              <w:right w:w="43" w:type="dxa"/>
            </w:tcMar>
            <w:vAlign w:val="center"/>
          </w:tcPr>
          <w:p w:rsidR="00616159" w:rsidRDefault="00616159"/>
        </w:tc>
        <w:tc>
          <w:tcPr>
            <w:tcW w:w="7020" w:type="dxa"/>
            <w:tcBorders>
              <w:bottom w:val="single" w:sz="4" w:space="0" w:color="808080"/>
            </w:tcBorders>
            <w:tcMar>
              <w:top w:w="43" w:type="dxa"/>
              <w:left w:w="43" w:type="dxa"/>
              <w:bottom w:w="43" w:type="dxa"/>
              <w:right w:w="43" w:type="dxa"/>
            </w:tcMar>
            <w:vAlign w:val="center"/>
          </w:tcPr>
          <w:p w:rsidR="00616159" w:rsidRDefault="00616159"/>
        </w:tc>
        <w:tc>
          <w:tcPr>
            <w:tcW w:w="1800" w:type="dxa"/>
            <w:tcBorders>
              <w:bottom w:val="single" w:sz="4" w:space="0" w:color="808080"/>
            </w:tcBorders>
            <w:tcMar>
              <w:top w:w="43" w:type="dxa"/>
              <w:left w:w="43" w:type="dxa"/>
              <w:bottom w:w="43" w:type="dxa"/>
              <w:right w:w="43" w:type="dxa"/>
            </w:tcMar>
            <w:vAlign w:val="center"/>
          </w:tcPr>
          <w:p w:rsidR="00616159" w:rsidRDefault="00616159"/>
        </w:tc>
      </w:tr>
    </w:tbl>
    <w:p w:rsidR="00616159" w:rsidRDefault="003778F4" w:rsidP="00B15D6C">
      <w:pPr>
        <w:pStyle w:val="Heading2"/>
      </w:pPr>
      <w:r>
        <w:t>A. Purpose</w:t>
      </w:r>
    </w:p>
    <w:tbl>
      <w:tblPr>
        <w:tblStyle w:val="a1"/>
        <w:tblW w:w="10584" w:type="dxa"/>
        <w:tblInd w:w="-115" w:type="dxa"/>
        <w:tblLayout w:type="fixed"/>
        <w:tblLook w:val="0600" w:firstRow="0" w:lastRow="0" w:firstColumn="0" w:lastColumn="0" w:noHBand="1" w:noVBand="1"/>
        <w:tblCaption w:val="Procedure purpose"/>
      </w:tblPr>
      <w:tblGrid>
        <w:gridCol w:w="10584"/>
      </w:tblGrid>
      <w:tr w:rsidR="00616159">
        <w:trPr>
          <w:trHeight w:val="320"/>
        </w:trPr>
        <w:tc>
          <w:tcPr>
            <w:tcW w:w="10584" w:type="dxa"/>
            <w:shd w:val="clear" w:color="auto" w:fill="FFFFFF"/>
            <w:tcMar>
              <w:left w:w="115" w:type="dxa"/>
              <w:right w:w="115" w:type="dxa"/>
            </w:tcMar>
            <w:vAlign w:val="center"/>
          </w:tcPr>
          <w:p w:rsidR="00492E8F" w:rsidRPr="00492E8F" w:rsidRDefault="00492E8F" w:rsidP="00492E8F">
            <w:pPr>
              <w:widowControl/>
              <w:rPr>
                <w:sz w:val="22"/>
                <w:szCs w:val="22"/>
              </w:rPr>
            </w:pPr>
            <w:r w:rsidRPr="00492E8F">
              <w:rPr>
                <w:sz w:val="22"/>
                <w:szCs w:val="22"/>
              </w:rPr>
              <w:t xml:space="preserve">This Environmental Health &amp; Safety guideline documentation </w:t>
            </w:r>
            <w:proofErr w:type="gramStart"/>
            <w:r w:rsidRPr="00492E8F">
              <w:rPr>
                <w:sz w:val="22"/>
                <w:szCs w:val="22"/>
              </w:rPr>
              <w:t>is intended</w:t>
            </w:r>
            <w:proofErr w:type="gramEnd"/>
            <w:r w:rsidRPr="00492E8F">
              <w:rPr>
                <w:sz w:val="22"/>
                <w:szCs w:val="22"/>
              </w:rPr>
              <w:t xml:space="preserve"> for </w:t>
            </w:r>
            <w:r w:rsidR="00F93C63">
              <w:rPr>
                <w:sz w:val="22"/>
                <w:szCs w:val="22"/>
              </w:rPr>
              <w:t>safety of personnel when removing a dead animal carcass</w:t>
            </w:r>
            <w:r w:rsidRPr="00492E8F">
              <w:rPr>
                <w:sz w:val="22"/>
                <w:szCs w:val="22"/>
              </w:rPr>
              <w:t>.</w:t>
            </w:r>
          </w:p>
          <w:p w:rsidR="00492E8F" w:rsidRPr="00492E8F" w:rsidRDefault="00492E8F" w:rsidP="00492E8F">
            <w:pPr>
              <w:widowControl/>
              <w:rPr>
                <w:sz w:val="22"/>
                <w:szCs w:val="22"/>
              </w:rPr>
            </w:pPr>
          </w:p>
          <w:p w:rsidR="00616159" w:rsidRDefault="00616159" w:rsidP="00492E8F">
            <w:pPr>
              <w:widowControl/>
            </w:pPr>
          </w:p>
        </w:tc>
      </w:tr>
    </w:tbl>
    <w:p w:rsidR="00616159" w:rsidRDefault="003778F4" w:rsidP="00B15D6C">
      <w:pPr>
        <w:pStyle w:val="Heading2"/>
      </w:pPr>
      <w:r>
        <w:t>B. Definitions</w:t>
      </w:r>
    </w:p>
    <w:tbl>
      <w:tblPr>
        <w:tblStyle w:val="a2"/>
        <w:tblW w:w="10584" w:type="dxa"/>
        <w:tblInd w:w="-115" w:type="dxa"/>
        <w:tblLayout w:type="fixed"/>
        <w:tblLook w:val="0600" w:firstRow="0" w:lastRow="0" w:firstColumn="0" w:lastColumn="0" w:noHBand="1" w:noVBand="1"/>
        <w:tblCaption w:val="Procedure definitions"/>
      </w:tblPr>
      <w:tblGrid>
        <w:gridCol w:w="10584"/>
      </w:tblGrid>
      <w:tr w:rsidR="00616159">
        <w:trPr>
          <w:trHeight w:val="320"/>
        </w:trPr>
        <w:tc>
          <w:tcPr>
            <w:tcW w:w="10584" w:type="dxa"/>
            <w:shd w:val="clear" w:color="auto" w:fill="FFFFFF"/>
            <w:tcMar>
              <w:left w:w="115" w:type="dxa"/>
              <w:right w:w="115" w:type="dxa"/>
            </w:tcMar>
            <w:vAlign w:val="center"/>
          </w:tcPr>
          <w:p w:rsidR="00492E8F" w:rsidRDefault="00F93C63" w:rsidP="00492E8F">
            <w:pPr>
              <w:pStyle w:val="NormalWeb"/>
            </w:pPr>
            <w:r>
              <w:rPr>
                <w:rStyle w:val="Strong"/>
              </w:rPr>
              <w:t>Carcass</w:t>
            </w:r>
            <w:r w:rsidR="00492E8F">
              <w:t xml:space="preserve">: A </w:t>
            </w:r>
            <w:r>
              <w:t>dead body of an animal or remains of an animal.</w:t>
            </w:r>
          </w:p>
          <w:p w:rsidR="00616159" w:rsidRDefault="00616159" w:rsidP="00F93C63">
            <w:pPr>
              <w:pStyle w:val="NormalWeb"/>
            </w:pPr>
          </w:p>
        </w:tc>
      </w:tr>
    </w:tbl>
    <w:tbl>
      <w:tblPr>
        <w:tblStyle w:val="a3"/>
        <w:tblW w:w="10584" w:type="dxa"/>
        <w:tblInd w:w="-115" w:type="dxa"/>
        <w:tblLayout w:type="fixed"/>
        <w:tblLook w:val="0600" w:firstRow="0" w:lastRow="0" w:firstColumn="0" w:lastColumn="0" w:noHBand="1" w:noVBand="1"/>
        <w:tblCaption w:val="Procedure definitions"/>
      </w:tblPr>
      <w:tblGrid>
        <w:gridCol w:w="10584"/>
      </w:tblGrid>
      <w:tr w:rsidR="00616159">
        <w:trPr>
          <w:trHeight w:val="320"/>
        </w:trPr>
        <w:tc>
          <w:tcPr>
            <w:tcW w:w="10584" w:type="dxa"/>
            <w:shd w:val="clear" w:color="auto" w:fill="FFFFFF"/>
            <w:tcMar>
              <w:left w:w="115" w:type="dxa"/>
              <w:right w:w="115" w:type="dxa"/>
            </w:tcMar>
            <w:vAlign w:val="center"/>
          </w:tcPr>
          <w:p w:rsidR="00492E8F" w:rsidRDefault="003778F4" w:rsidP="00492E8F">
            <w:pPr>
              <w:pStyle w:val="Heading1"/>
            </w:pPr>
            <w:r>
              <w:lastRenderedPageBreak/>
              <w:t>C. Procedures</w:t>
            </w:r>
            <w:r w:rsidR="00492E8F">
              <w:t xml:space="preserve"> </w:t>
            </w:r>
          </w:p>
          <w:p w:rsidR="00F93C63" w:rsidRPr="00F93C63" w:rsidRDefault="00492E8F" w:rsidP="00F93C63">
            <w:pPr>
              <w:pStyle w:val="NormalWeb"/>
              <w:numPr>
                <w:ilvl w:val="0"/>
                <w:numId w:val="4"/>
              </w:numPr>
            </w:pPr>
            <w:r>
              <w:t> </w:t>
            </w:r>
            <w:r w:rsidR="00F93C63" w:rsidRPr="00F93C63">
              <w:t xml:space="preserve">All dead animals </w:t>
            </w:r>
            <w:proofErr w:type="gramStart"/>
            <w:r w:rsidR="00F93C63" w:rsidRPr="00F93C63">
              <w:t>should be handled</w:t>
            </w:r>
            <w:proofErr w:type="gramEnd"/>
            <w:r w:rsidR="00F93C63" w:rsidRPr="00F93C63">
              <w:t xml:space="preserve"> only while wearing gloves; this includes carrying of dead animals, during necropsy procedures, and the dressing out of carcasses. There are several types of gloves to choose from, including leather, rubber, and latex gloves. Rubber or latex gloves are preferred due to their low cost, wide availability, and ease of disinfecting (latex gloves are disposable).</w:t>
            </w:r>
          </w:p>
          <w:p w:rsidR="00F93C63" w:rsidRPr="00F93C63" w:rsidRDefault="00F93C63" w:rsidP="00F93C63">
            <w:pPr>
              <w:pStyle w:val="NormalWeb"/>
              <w:numPr>
                <w:ilvl w:val="0"/>
                <w:numId w:val="4"/>
              </w:numPr>
            </w:pPr>
            <w:r w:rsidRPr="00F93C63">
              <w:t xml:space="preserve">The carcass </w:t>
            </w:r>
            <w:proofErr w:type="gramStart"/>
            <w:r w:rsidRPr="00F93C63">
              <w:t>should be placed in a plastic body bag and sealed as soon as possible</w:t>
            </w:r>
            <w:proofErr w:type="gramEnd"/>
            <w:r w:rsidRPr="00F93C63">
              <w:t>. If a zoonotic disease is suspected (i.e., rabies, tularemia), it is recommended to double bag the carcass.</w:t>
            </w:r>
          </w:p>
          <w:p w:rsidR="00F93C63" w:rsidRPr="00F93C63" w:rsidRDefault="00F93C63" w:rsidP="00F93C63">
            <w:pPr>
              <w:pStyle w:val="NormalWeb"/>
              <w:numPr>
                <w:ilvl w:val="0"/>
                <w:numId w:val="4"/>
              </w:numPr>
            </w:pPr>
            <w:r w:rsidRPr="00F93C63">
              <w:t>Avoid direct contact with the dead animal's body fluids (i.e., blood, urine, feces). If contact does occur, wash the skin area contacted with soap and water as soon as possible.</w:t>
            </w:r>
          </w:p>
          <w:p w:rsidR="00F93C63" w:rsidRPr="00F93C63" w:rsidRDefault="00F93C63" w:rsidP="00F93C63">
            <w:pPr>
              <w:pStyle w:val="NormalWeb"/>
              <w:numPr>
                <w:ilvl w:val="0"/>
                <w:numId w:val="4"/>
              </w:numPr>
            </w:pPr>
            <w:r w:rsidRPr="00F93C63">
              <w:t xml:space="preserve">Avoid contact with the dead animal's external parasites (i.e., fleas and ticks). If possible, spray the carcass with a flea &amp; tick spray prior to handling it. If pesticide poisoning is suspected as the cause of death and </w:t>
            </w:r>
            <w:proofErr w:type="gramStart"/>
            <w:r w:rsidRPr="00F93C63">
              <w:t>laboratory</w:t>
            </w:r>
            <w:proofErr w:type="gramEnd"/>
            <w:r w:rsidRPr="00F93C63">
              <w:t xml:space="preserve"> testing is to be performed on the animal's tissues, avoid spraying the carcass as it will interfere with laboratory results.</w:t>
            </w:r>
          </w:p>
          <w:p w:rsidR="00F93C63" w:rsidRPr="00F93C63" w:rsidRDefault="00F93C63" w:rsidP="00F93C63">
            <w:pPr>
              <w:pStyle w:val="NormalWeb"/>
              <w:numPr>
                <w:ilvl w:val="0"/>
                <w:numId w:val="4"/>
              </w:numPr>
            </w:pPr>
            <w:r w:rsidRPr="00F93C63">
              <w:t xml:space="preserve">Proper disposal of the carcass (incineration, burying, etc.) is critical to prevent exposure of other wildlife and humans to disease. Three common effective methods of carcass disposal </w:t>
            </w:r>
            <w:proofErr w:type="gramStart"/>
            <w:r w:rsidRPr="00F93C63">
              <w:t>are:</w:t>
            </w:r>
            <w:proofErr w:type="gramEnd"/>
            <w:r w:rsidRPr="00F93C63">
              <w:t xml:space="preserve"> incineration, burying, and rendering. Incineration is the preferred method to use when the carcass is diseased; however, it can also be the most expensive. An acceptable alternative is to bury the carcass. The carcass </w:t>
            </w:r>
            <w:proofErr w:type="gramStart"/>
            <w:r w:rsidRPr="00F93C63">
              <w:t>should be buried at least 4 feet deep and covered with lime to discourage scavengers from uncovering and consuming it</w:t>
            </w:r>
            <w:proofErr w:type="gramEnd"/>
            <w:r w:rsidRPr="00F93C63">
              <w:t>.</w:t>
            </w:r>
          </w:p>
          <w:p w:rsidR="00F93C63" w:rsidRPr="00F93C63" w:rsidRDefault="00F93C63" w:rsidP="00F93C63">
            <w:pPr>
              <w:pStyle w:val="NormalWeb"/>
              <w:numPr>
                <w:ilvl w:val="0"/>
                <w:numId w:val="4"/>
              </w:numPr>
            </w:pPr>
            <w:r w:rsidRPr="00F93C63">
              <w:t xml:space="preserve">Persons who have direct contact with wildlife, especially carnivorous animals, on a regular basis are highly recommended to receive the rabies pre-exposure vaccination series. The pre-exposure series consists of a total of three vaccinations </w:t>
            </w:r>
            <w:bookmarkStart w:id="0" w:name="_GoBack"/>
            <w:bookmarkEnd w:id="0"/>
            <w:r w:rsidRPr="00F93C63">
              <w:t xml:space="preserve">and is highly efficacious in preventing rabies. It </w:t>
            </w:r>
            <w:proofErr w:type="gramStart"/>
            <w:r w:rsidRPr="00F93C63">
              <w:t>is also recommended</w:t>
            </w:r>
            <w:proofErr w:type="gramEnd"/>
            <w:r w:rsidRPr="00F93C63">
              <w:t xml:space="preserve"> to have a rabies antibody titer tested every two years to determine the level of protection.</w:t>
            </w:r>
          </w:p>
          <w:p w:rsidR="00F93C63" w:rsidRPr="00F93C63" w:rsidRDefault="00F93C63" w:rsidP="00F93C63">
            <w:pPr>
              <w:pStyle w:val="NormalWeb"/>
              <w:numPr>
                <w:ilvl w:val="0"/>
                <w:numId w:val="4"/>
              </w:numPr>
            </w:pPr>
            <w:r w:rsidRPr="00F93C63">
              <w:t xml:space="preserve">Whenever there is an unusual mortality or die-off of wildlife the Wildlife Investigations Lab </w:t>
            </w:r>
            <w:proofErr w:type="gramStart"/>
            <w:r w:rsidRPr="00F93C63">
              <w:t>should be contacted</w:t>
            </w:r>
            <w:proofErr w:type="gramEnd"/>
            <w:r w:rsidRPr="00F93C63">
              <w:t xml:space="preserve"> to determine if a necropsy and disease investigation is recommended. The carcass(s) should be refrigerated as soon as possible until a decision is made as to its disposition</w:t>
            </w:r>
          </w:p>
          <w:p w:rsidR="00492E8F" w:rsidRDefault="00492E8F" w:rsidP="00492E8F">
            <w:pPr>
              <w:pStyle w:val="NormalWeb"/>
            </w:pPr>
          </w:p>
          <w:p w:rsidR="00616159" w:rsidRDefault="00616159">
            <w:pPr>
              <w:ind w:left="720"/>
            </w:pPr>
          </w:p>
          <w:p w:rsidR="00616159" w:rsidRDefault="00616159">
            <w:pPr>
              <w:ind w:left="720"/>
            </w:pPr>
          </w:p>
        </w:tc>
      </w:tr>
      <w:tr w:rsidR="00616159">
        <w:trPr>
          <w:trHeight w:val="320"/>
        </w:trPr>
        <w:tc>
          <w:tcPr>
            <w:tcW w:w="10584" w:type="dxa"/>
            <w:shd w:val="clear" w:color="auto" w:fill="D9D9D9"/>
            <w:tcMar>
              <w:left w:w="115" w:type="dxa"/>
              <w:right w:w="115" w:type="dxa"/>
            </w:tcMar>
          </w:tcPr>
          <w:p w:rsidR="00616159" w:rsidRDefault="003778F4">
            <w:r>
              <w:rPr>
                <w:sz w:val="22"/>
                <w:szCs w:val="22"/>
              </w:rPr>
              <w:t xml:space="preserve">This procedure </w:t>
            </w:r>
            <w:proofErr w:type="gramStart"/>
            <w:r>
              <w:rPr>
                <w:sz w:val="22"/>
                <w:szCs w:val="22"/>
              </w:rPr>
              <w:t>may be revised</w:t>
            </w:r>
            <w:proofErr w:type="gramEnd"/>
            <w:r>
              <w:rPr>
                <w:sz w:val="22"/>
                <w:szCs w:val="22"/>
              </w:rPr>
              <w:t xml:space="preserve"> at any time without notice. All revisions supersede prior procedures and are effective immediately upon approval.</w:t>
            </w:r>
          </w:p>
        </w:tc>
      </w:tr>
    </w:tbl>
    <w:p w:rsidR="00616159" w:rsidRDefault="003778F4" w:rsidP="00B15D6C">
      <w:pPr>
        <w:pStyle w:val="Heading2"/>
      </w:pPr>
      <w:r>
        <w:t>D. Appendix</w:t>
      </w:r>
    </w:p>
    <w:tbl>
      <w:tblPr>
        <w:tblStyle w:val="a4"/>
        <w:tblW w:w="10480" w:type="dxa"/>
        <w:tblInd w:w="-115" w:type="dxa"/>
        <w:tblLayout w:type="fixed"/>
        <w:tblLook w:val="0600" w:firstRow="0" w:lastRow="0" w:firstColumn="0" w:lastColumn="0" w:noHBand="1" w:noVBand="1"/>
        <w:tblCaption w:val="Procedure appendix"/>
      </w:tblPr>
      <w:tblGrid>
        <w:gridCol w:w="10480"/>
      </w:tblGrid>
      <w:tr w:rsidR="00616159">
        <w:trPr>
          <w:trHeight w:val="320"/>
        </w:trPr>
        <w:tc>
          <w:tcPr>
            <w:tcW w:w="10480" w:type="dxa"/>
            <w:shd w:val="clear" w:color="auto" w:fill="FFFFFF"/>
            <w:tcMar>
              <w:left w:w="115" w:type="dxa"/>
              <w:right w:w="115" w:type="dxa"/>
            </w:tcMar>
            <w:vAlign w:val="center"/>
          </w:tcPr>
          <w:p w:rsidR="00616159" w:rsidRDefault="00616159" w:rsidP="00F93C63">
            <w:pPr>
              <w:widowControl/>
              <w:spacing w:before="100" w:beforeAutospacing="1" w:after="100" w:afterAutospacing="1"/>
            </w:pPr>
          </w:p>
        </w:tc>
      </w:tr>
    </w:tbl>
    <w:p w:rsidR="00616159" w:rsidRDefault="00616159"/>
    <w:sectPr w:rsidR="00616159">
      <w:footerReference w:type="default" r:id="rId8"/>
      <w:pgSz w:w="12240" w:h="15840"/>
      <w:pgMar w:top="720" w:right="990" w:bottom="810" w:left="77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A8B" w:rsidRDefault="00A74A8B">
      <w:r>
        <w:separator/>
      </w:r>
    </w:p>
  </w:endnote>
  <w:endnote w:type="continuationSeparator" w:id="0">
    <w:p w:rsidR="00A74A8B" w:rsidRDefault="00A7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159" w:rsidRDefault="00616159">
    <w:pPr>
      <w:tabs>
        <w:tab w:val="right" w:pos="104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A8B" w:rsidRDefault="00A74A8B">
      <w:r>
        <w:separator/>
      </w:r>
    </w:p>
  </w:footnote>
  <w:footnote w:type="continuationSeparator" w:id="0">
    <w:p w:rsidR="00A74A8B" w:rsidRDefault="00A74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F5FC6"/>
    <w:multiLevelType w:val="multilevel"/>
    <w:tmpl w:val="F500B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BF440E"/>
    <w:multiLevelType w:val="multilevel"/>
    <w:tmpl w:val="1A7EA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256E4C"/>
    <w:multiLevelType w:val="multilevel"/>
    <w:tmpl w:val="5F42E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526BBA"/>
    <w:multiLevelType w:val="multilevel"/>
    <w:tmpl w:val="258C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59"/>
    <w:rsid w:val="0022743D"/>
    <w:rsid w:val="003778F4"/>
    <w:rsid w:val="00462397"/>
    <w:rsid w:val="00492E8F"/>
    <w:rsid w:val="00616159"/>
    <w:rsid w:val="007238A3"/>
    <w:rsid w:val="00920F26"/>
    <w:rsid w:val="00A74A8B"/>
    <w:rsid w:val="00AB77A1"/>
    <w:rsid w:val="00AD1C08"/>
    <w:rsid w:val="00AE2312"/>
    <w:rsid w:val="00B15D6C"/>
    <w:rsid w:val="00B61D62"/>
    <w:rsid w:val="00CE7C20"/>
    <w:rsid w:val="00F93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5AFEA"/>
  <w15:docId w15:val="{0EA1810E-4CB4-46A2-A4FC-FEEE2A05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rsid w:val="00B15D6C"/>
    <w:pPr>
      <w:keepNext/>
      <w:keepLines/>
      <w:spacing w:before="480" w:after="120"/>
      <w:outlineLvl w:val="0"/>
    </w:pPr>
    <w:rPr>
      <w:b/>
      <w:szCs w:val="48"/>
    </w:rPr>
  </w:style>
  <w:style w:type="paragraph" w:styleId="Heading2">
    <w:name w:val="heading 2"/>
    <w:basedOn w:val="Normal"/>
    <w:next w:val="Normal"/>
    <w:rsid w:val="00B15D6C"/>
    <w:pPr>
      <w:keepNext/>
      <w:keepLines/>
      <w:spacing w:before="360" w:after="80"/>
      <w:outlineLvl w:val="1"/>
    </w:pPr>
    <w:rPr>
      <w:b/>
      <w:szCs w:val="36"/>
    </w:rPr>
  </w:style>
  <w:style w:type="paragraph" w:styleId="Heading3">
    <w:name w:val="heading 3"/>
    <w:basedOn w:val="Normal"/>
    <w:next w:val="Normal"/>
    <w:pPr>
      <w:keepNext/>
      <w:keepLines/>
      <w:spacing w:before="100" w:after="100"/>
      <w:outlineLvl w:val="2"/>
    </w:pPr>
    <w:rPr>
      <w:b/>
      <w:sz w:val="26"/>
      <w:szCs w:val="26"/>
    </w:rPr>
  </w:style>
  <w:style w:type="paragraph" w:styleId="Heading4">
    <w:name w:val="heading 4"/>
    <w:basedOn w:val="Normal"/>
    <w:next w:val="Normal"/>
    <w:pPr>
      <w:keepNext/>
      <w:keepLines/>
      <w:spacing w:before="100" w:after="10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492E8F"/>
    <w:pPr>
      <w:widowControl/>
      <w:spacing w:before="100" w:beforeAutospacing="1" w:after="100" w:afterAutospacing="1"/>
    </w:pPr>
    <w:rPr>
      <w:color w:val="auto"/>
    </w:rPr>
  </w:style>
  <w:style w:type="character" w:styleId="Strong">
    <w:name w:val="Strong"/>
    <w:basedOn w:val="DefaultParagraphFont"/>
    <w:uiPriority w:val="22"/>
    <w:qFormat/>
    <w:rsid w:val="00492E8F"/>
    <w:rPr>
      <w:b/>
      <w:bCs/>
    </w:rPr>
  </w:style>
  <w:style w:type="character" w:styleId="Hyperlink">
    <w:name w:val="Hyperlink"/>
    <w:basedOn w:val="DefaultParagraphFont"/>
    <w:uiPriority w:val="99"/>
    <w:semiHidden/>
    <w:unhideWhenUsed/>
    <w:rsid w:val="00492E8F"/>
    <w:rPr>
      <w:color w:val="0000FF"/>
      <w:u w:val="single"/>
    </w:rPr>
  </w:style>
  <w:style w:type="character" w:styleId="Emphasis">
    <w:name w:val="Emphasis"/>
    <w:basedOn w:val="DefaultParagraphFont"/>
    <w:uiPriority w:val="20"/>
    <w:qFormat/>
    <w:rsid w:val="00492E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500824">
      <w:bodyDiv w:val="1"/>
      <w:marLeft w:val="0"/>
      <w:marRight w:val="0"/>
      <w:marTop w:val="0"/>
      <w:marBottom w:val="0"/>
      <w:divBdr>
        <w:top w:val="none" w:sz="0" w:space="0" w:color="auto"/>
        <w:left w:val="none" w:sz="0" w:space="0" w:color="auto"/>
        <w:bottom w:val="none" w:sz="0" w:space="0" w:color="auto"/>
        <w:right w:val="none" w:sz="0" w:space="0" w:color="auto"/>
      </w:divBdr>
    </w:div>
    <w:div w:id="1408723560">
      <w:bodyDiv w:val="1"/>
      <w:marLeft w:val="0"/>
      <w:marRight w:val="0"/>
      <w:marTop w:val="0"/>
      <w:marBottom w:val="0"/>
      <w:divBdr>
        <w:top w:val="none" w:sz="0" w:space="0" w:color="auto"/>
        <w:left w:val="none" w:sz="0" w:space="0" w:color="auto"/>
        <w:bottom w:val="none" w:sz="0" w:space="0" w:color="auto"/>
        <w:right w:val="none" w:sz="0" w:space="0" w:color="auto"/>
      </w:divBdr>
      <w:divsChild>
        <w:div w:id="1778208372">
          <w:marLeft w:val="0"/>
          <w:marRight w:val="0"/>
          <w:marTop w:val="0"/>
          <w:marBottom w:val="0"/>
          <w:divBdr>
            <w:top w:val="none" w:sz="0" w:space="0" w:color="auto"/>
            <w:left w:val="none" w:sz="0" w:space="0" w:color="auto"/>
            <w:bottom w:val="none" w:sz="0" w:space="0" w:color="auto"/>
            <w:right w:val="none" w:sz="0" w:space="0" w:color="auto"/>
          </w:divBdr>
        </w:div>
      </w:divsChild>
    </w:div>
    <w:div w:id="1890418023">
      <w:bodyDiv w:val="1"/>
      <w:marLeft w:val="0"/>
      <w:marRight w:val="0"/>
      <w:marTop w:val="0"/>
      <w:marBottom w:val="0"/>
      <w:divBdr>
        <w:top w:val="none" w:sz="0" w:space="0" w:color="auto"/>
        <w:left w:val="none" w:sz="0" w:space="0" w:color="auto"/>
        <w:bottom w:val="none" w:sz="0" w:space="0" w:color="auto"/>
        <w:right w:val="none" w:sz="0" w:space="0" w:color="auto"/>
      </w:divBdr>
    </w:div>
    <w:div w:id="2040475269">
      <w:bodyDiv w:val="1"/>
      <w:marLeft w:val="0"/>
      <w:marRight w:val="0"/>
      <w:marTop w:val="0"/>
      <w:marBottom w:val="0"/>
      <w:divBdr>
        <w:top w:val="none" w:sz="0" w:space="0" w:color="auto"/>
        <w:left w:val="none" w:sz="0" w:space="0" w:color="auto"/>
        <w:bottom w:val="none" w:sz="0" w:space="0" w:color="auto"/>
        <w:right w:val="none" w:sz="0" w:space="0" w:color="auto"/>
      </w:divBdr>
    </w:div>
    <w:div w:id="2069381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 DSS</dc:creator>
  <cp:lastModifiedBy>Russell Deen</cp:lastModifiedBy>
  <cp:revision>3</cp:revision>
  <dcterms:created xsi:type="dcterms:W3CDTF">2018-11-15T20:24:00Z</dcterms:created>
  <dcterms:modified xsi:type="dcterms:W3CDTF">2018-11-15T20:41:00Z</dcterms:modified>
</cp:coreProperties>
</file>