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4244" w:rsidRDefault="003F4F4E"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37895" cy="239395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39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820" w:type="dxa"/>
        <w:tblLayout w:type="fixed"/>
        <w:tblLook w:val="0600" w:firstRow="0" w:lastRow="0" w:firstColumn="0" w:lastColumn="0" w:noHBand="1" w:noVBand="1"/>
      </w:tblPr>
      <w:tblGrid>
        <w:gridCol w:w="8820"/>
      </w:tblGrid>
      <w:tr w:rsidR="000A4244">
        <w:trPr>
          <w:trHeight w:val="320"/>
        </w:trPr>
        <w:tc>
          <w:tcPr>
            <w:tcW w:w="882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4244" w:rsidRDefault="007E7E1E">
            <w:r>
              <w:rPr>
                <w:sz w:val="32"/>
                <w:szCs w:val="32"/>
              </w:rPr>
              <w:t>Occupational Safety Advisory Committee</w:t>
            </w:r>
          </w:p>
        </w:tc>
      </w:tr>
    </w:tbl>
    <w:p w:rsidR="000A4244" w:rsidRDefault="000A4244">
      <w:pPr>
        <w:tabs>
          <w:tab w:val="left" w:pos="-54"/>
        </w:tabs>
      </w:pPr>
    </w:p>
    <w:p w:rsidR="000A4244" w:rsidRDefault="003F4F4E">
      <w:pPr>
        <w:tabs>
          <w:tab w:val="left" w:pos="-54"/>
        </w:tabs>
        <w:ind w:left="35"/>
      </w:pPr>
      <w:r>
        <w:rPr>
          <w:b/>
          <w:sz w:val="22"/>
          <w:szCs w:val="22"/>
        </w:rPr>
        <w:t>Office:</w:t>
      </w:r>
      <w:r w:rsidR="007E7E1E">
        <w:rPr>
          <w:b/>
          <w:sz w:val="22"/>
          <w:szCs w:val="22"/>
        </w:rPr>
        <w:t xml:space="preserve"> Environmental Health, Safety, and Risk </w:t>
      </w:r>
    </w:p>
    <w:p w:rsidR="000A4244" w:rsidRDefault="003F4F4E">
      <w:pPr>
        <w:tabs>
          <w:tab w:val="left" w:pos="-54"/>
        </w:tabs>
        <w:ind w:left="35"/>
      </w:pPr>
      <w:r>
        <w:rPr>
          <w:b/>
          <w:sz w:val="22"/>
          <w:szCs w:val="22"/>
        </w:rPr>
        <w:t>Procedure Contact:</w:t>
      </w:r>
      <w:r w:rsidR="007E7E1E">
        <w:rPr>
          <w:b/>
          <w:sz w:val="22"/>
          <w:szCs w:val="22"/>
        </w:rPr>
        <w:t xml:space="preserve"> Russell Deen</w:t>
      </w:r>
    </w:p>
    <w:p w:rsidR="000A4244" w:rsidRDefault="003F4F4E">
      <w:pPr>
        <w:tabs>
          <w:tab w:val="left" w:pos="-54"/>
        </w:tabs>
        <w:ind w:left="35"/>
      </w:pPr>
      <w:r>
        <w:rPr>
          <w:b/>
          <w:sz w:val="22"/>
          <w:szCs w:val="22"/>
        </w:rPr>
        <w:t>Related Policy or Policies:</w:t>
      </w:r>
      <w:r w:rsidR="007E7E1E">
        <w:rPr>
          <w:b/>
          <w:sz w:val="22"/>
          <w:szCs w:val="22"/>
        </w:rPr>
        <w:t xml:space="preserve"> Environmental Health and Safety Policy</w:t>
      </w:r>
    </w:p>
    <w:p w:rsidR="000A4244" w:rsidRDefault="000A4244">
      <w:pPr>
        <w:ind w:left="35"/>
      </w:pPr>
    </w:p>
    <w:p w:rsidR="000A4244" w:rsidRDefault="003F4F4E">
      <w:pPr>
        <w:ind w:left="35"/>
      </w:pPr>
      <w:r>
        <w:rPr>
          <w:b/>
          <w:sz w:val="22"/>
          <w:szCs w:val="22"/>
        </w:rPr>
        <w:t>Revision History</w:t>
      </w:r>
    </w:p>
    <w:tbl>
      <w:tblPr>
        <w:tblStyle w:val="a0"/>
        <w:tblW w:w="10548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020"/>
        <w:gridCol w:w="1800"/>
      </w:tblGrid>
      <w:tr w:rsidR="000A4244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3F4F4E">
            <w:r>
              <w:rPr>
                <w:b/>
                <w:sz w:val="22"/>
                <w:szCs w:val="22"/>
              </w:rPr>
              <w:t>Revision Number: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3F4F4E">
            <w:r>
              <w:rPr>
                <w:b/>
                <w:sz w:val="22"/>
                <w:szCs w:val="22"/>
              </w:rPr>
              <w:t>Change: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3F4F4E">
            <w:r>
              <w:rPr>
                <w:b/>
                <w:sz w:val="22"/>
                <w:szCs w:val="22"/>
              </w:rPr>
              <w:t>Date:</w:t>
            </w:r>
          </w:p>
        </w:tc>
      </w:tr>
      <w:tr w:rsidR="000A4244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7E7E1E">
            <w:r>
              <w:t>Initial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0A4244"/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7E7E1E">
            <w:r>
              <w:t>04/24/2017</w:t>
            </w:r>
          </w:p>
        </w:tc>
      </w:tr>
      <w:tr w:rsidR="000A4244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0A4244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0A4244"/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0A4244" w:rsidRDefault="000A4244"/>
        </w:tc>
      </w:tr>
    </w:tbl>
    <w:p w:rsidR="000A4244" w:rsidRDefault="000A4244"/>
    <w:p w:rsidR="000A4244" w:rsidRDefault="003F4F4E">
      <w:r>
        <w:rPr>
          <w:b/>
          <w:sz w:val="22"/>
          <w:szCs w:val="22"/>
        </w:rPr>
        <w:t>A. Purpose</w:t>
      </w:r>
    </w:p>
    <w:tbl>
      <w:tblPr>
        <w:tblStyle w:val="a1"/>
        <w:tblW w:w="10584" w:type="dxa"/>
        <w:tblInd w:w="-115" w:type="dxa"/>
        <w:tblLayout w:type="fixed"/>
        <w:tblLook w:val="0600" w:firstRow="0" w:lastRow="0" w:firstColumn="0" w:lastColumn="0" w:noHBand="1" w:noVBand="1"/>
      </w:tblPr>
      <w:tblGrid>
        <w:gridCol w:w="10584"/>
      </w:tblGrid>
      <w:tr w:rsidR="000A4244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4244" w:rsidRDefault="007E7E1E" w:rsidP="005D238D">
            <w:pPr>
              <w:widowControl/>
            </w:pPr>
            <w:r>
              <w:rPr>
                <w:noProof/>
                <w:sz w:val="22"/>
                <w:szCs w:val="22"/>
              </w:rPr>
              <w:t xml:space="preserve">The Occupational and Safety Advisory Committee is appointed by the Vice President for </w:t>
            </w:r>
            <w:r w:rsidR="005D238D">
              <w:rPr>
                <w:noProof/>
                <w:sz w:val="22"/>
                <w:szCs w:val="22"/>
              </w:rPr>
              <w:t xml:space="preserve">Finance and </w:t>
            </w:r>
            <w:r>
              <w:rPr>
                <w:noProof/>
                <w:sz w:val="22"/>
                <w:szCs w:val="22"/>
              </w:rPr>
              <w:t>Administration to promote safety and health on campus in compliance with Oregon Administrative Rule 437-001-0765. OSAC is responsible for providing advice and submitting recommendations related to safety and health issues an</w:t>
            </w:r>
            <w:r w:rsidR="00966F01">
              <w:rPr>
                <w:noProof/>
                <w:sz w:val="22"/>
                <w:szCs w:val="22"/>
              </w:rPr>
              <w:t xml:space="preserve">d concerns to the Envrionmental Health, Safety and Risk Manager </w:t>
            </w:r>
            <w:r w:rsidR="009405F1">
              <w:rPr>
                <w:noProof/>
                <w:sz w:val="22"/>
                <w:szCs w:val="22"/>
              </w:rPr>
              <w:t>(EHS)</w:t>
            </w:r>
            <w:r w:rsidR="00966F01">
              <w:rPr>
                <w:noProof/>
                <w:sz w:val="22"/>
                <w:szCs w:val="22"/>
              </w:rPr>
              <w:t>. The EHS Manager is responsible for keeping the Vice Presiden</w:t>
            </w:r>
            <w:r w:rsidR="009405F1">
              <w:rPr>
                <w:noProof/>
                <w:sz w:val="22"/>
                <w:szCs w:val="22"/>
              </w:rPr>
              <w:t>t of Administration and Finance</w:t>
            </w:r>
            <w:r w:rsidR="00966F01">
              <w:rPr>
                <w:noProof/>
                <w:sz w:val="22"/>
                <w:szCs w:val="22"/>
              </w:rPr>
              <w:t xml:space="preserve"> informed and assisting and guiding OSAC in carrying out its duties and responsibilities.</w:t>
            </w:r>
          </w:p>
        </w:tc>
      </w:tr>
    </w:tbl>
    <w:p w:rsidR="000A4244" w:rsidRDefault="000A4244"/>
    <w:p w:rsidR="000A4244" w:rsidRDefault="003F4F4E">
      <w:r>
        <w:rPr>
          <w:b/>
          <w:sz w:val="22"/>
          <w:szCs w:val="22"/>
        </w:rPr>
        <w:t>B. Definitions</w:t>
      </w:r>
    </w:p>
    <w:tbl>
      <w:tblPr>
        <w:tblStyle w:val="a2"/>
        <w:tblW w:w="10584" w:type="dxa"/>
        <w:tblInd w:w="-115" w:type="dxa"/>
        <w:tblLayout w:type="fixed"/>
        <w:tblLook w:val="0600" w:firstRow="0" w:lastRow="0" w:firstColumn="0" w:lastColumn="0" w:noHBand="1" w:noVBand="1"/>
      </w:tblPr>
      <w:tblGrid>
        <w:gridCol w:w="10584"/>
      </w:tblGrid>
      <w:tr w:rsidR="000A4244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4244" w:rsidRDefault="00966F01" w:rsidP="00966F0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OSAC is composed of an equal number of SOU management and staff representatives, who shall be voting members. Members should be representative of major work areas on campus.</w:t>
            </w:r>
          </w:p>
          <w:p w:rsidR="00966F01" w:rsidRDefault="00966F01" w:rsidP="00966F0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 xml:space="preserve">Committee members serve at least one year and </w:t>
            </w:r>
            <w:proofErr w:type="gramStart"/>
            <w:r w:rsidR="005D238D">
              <w:t xml:space="preserve">are </w:t>
            </w:r>
            <w:r>
              <w:t>appointed</w:t>
            </w:r>
            <w:proofErr w:type="gramEnd"/>
            <w:r>
              <w:t xml:space="preserve"> to staggering terms to ensure continuity on the committee as membership rotates.</w:t>
            </w:r>
          </w:p>
          <w:p w:rsidR="00966F01" w:rsidRDefault="00966F01" w:rsidP="00966F0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 xml:space="preserve">Staff representatives </w:t>
            </w:r>
            <w:proofErr w:type="gramStart"/>
            <w:r>
              <w:t>are asked</w:t>
            </w:r>
            <w:proofErr w:type="gramEnd"/>
            <w:r>
              <w:t xml:space="preserve"> to volunteer for the program.</w:t>
            </w:r>
          </w:p>
          <w:p w:rsidR="00966F01" w:rsidRDefault="00966F01" w:rsidP="00966F0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 xml:space="preserve">The OSAC Chair </w:t>
            </w:r>
            <w:proofErr w:type="gramStart"/>
            <w:r>
              <w:t>is elected</w:t>
            </w:r>
            <w:proofErr w:type="gramEnd"/>
            <w:r>
              <w:t xml:space="preserve"> by the membership.</w:t>
            </w:r>
          </w:p>
          <w:p w:rsidR="00966F01" w:rsidRDefault="00966F01" w:rsidP="00966F0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 xml:space="preserve">The </w:t>
            </w:r>
            <w:r w:rsidR="00C570BC">
              <w:t xml:space="preserve">Vice President </w:t>
            </w:r>
            <w:r w:rsidR="005D238D">
              <w:t xml:space="preserve">for Finance &amp; Administration </w:t>
            </w:r>
            <w:r w:rsidR="00C570BC">
              <w:t>appoints the administrative liaison</w:t>
            </w:r>
            <w:r>
              <w:t xml:space="preserve"> for Administration and Finance.</w:t>
            </w:r>
          </w:p>
          <w:p w:rsidR="00966F01" w:rsidRDefault="00966F01" w:rsidP="005D238D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 xml:space="preserve">The Vice President for Finance </w:t>
            </w:r>
            <w:r w:rsidR="005D238D">
              <w:t xml:space="preserve">and Administration </w:t>
            </w:r>
            <w:r>
              <w:t>may appoint ex-officio members to serve as subject-matter experts and resources.</w:t>
            </w:r>
          </w:p>
        </w:tc>
      </w:tr>
    </w:tbl>
    <w:p w:rsidR="000A4244" w:rsidRDefault="000A4244"/>
    <w:p w:rsidR="000A4244" w:rsidRDefault="003F4F4E">
      <w:r>
        <w:rPr>
          <w:b/>
          <w:sz w:val="22"/>
          <w:szCs w:val="22"/>
        </w:rPr>
        <w:t>C. Procedures</w:t>
      </w:r>
    </w:p>
    <w:tbl>
      <w:tblPr>
        <w:tblStyle w:val="a3"/>
        <w:tblW w:w="10584" w:type="dxa"/>
        <w:tblInd w:w="-115" w:type="dxa"/>
        <w:tblLayout w:type="fixed"/>
        <w:tblLook w:val="0600" w:firstRow="0" w:lastRow="0" w:firstColumn="0" w:lastColumn="0" w:noHBand="1" w:noVBand="1"/>
      </w:tblPr>
      <w:tblGrid>
        <w:gridCol w:w="10584"/>
      </w:tblGrid>
      <w:tr w:rsidR="000A4244" w:rsidRPr="0055092F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2F7158" w:rsidRPr="0055092F" w:rsidRDefault="00C570BC">
            <w:pPr>
              <w:widowControl/>
            </w:pPr>
            <w:r w:rsidRPr="0055092F">
              <w:t>The comm</w:t>
            </w:r>
            <w:r w:rsidR="002F7158" w:rsidRPr="0055092F">
              <w:t xml:space="preserve">ittee will hold meetings at least quarterly in accordance with Oregon OSHA recommendation and </w:t>
            </w:r>
            <w:r w:rsidR="005D238D">
              <w:t xml:space="preserve">OAR </w:t>
            </w:r>
            <w:r w:rsidR="002F7158" w:rsidRPr="0055092F">
              <w:t>437-001</w:t>
            </w:r>
            <w:r w:rsidR="00EE220B" w:rsidRPr="0055092F">
              <w:t>-0765</w:t>
            </w:r>
            <w:r w:rsidR="00764568">
              <w:t xml:space="preserve"> due to SOU summer schedule and faculty 9 month contracts</w:t>
            </w:r>
            <w:r w:rsidR="00EE220B" w:rsidRPr="0055092F">
              <w:t>. Meetings will:</w:t>
            </w:r>
          </w:p>
          <w:p w:rsidR="002F7158" w:rsidRPr="00764568" w:rsidRDefault="002F7158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Have a majority agree on a chairperson.</w:t>
            </w:r>
          </w:p>
          <w:p w:rsidR="002F7158" w:rsidRPr="00764568" w:rsidRDefault="002F7158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Be compensated at their regular rate of pay.</w:t>
            </w:r>
          </w:p>
          <w:p w:rsidR="002F7158" w:rsidRPr="00764568" w:rsidRDefault="002F7158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Have training in the principles of accident and incident investigations for use in evaluating those events.</w:t>
            </w:r>
          </w:p>
          <w:p w:rsidR="002F7158" w:rsidRPr="00764568" w:rsidRDefault="002F7158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Have training in hazard identification.</w:t>
            </w:r>
          </w:p>
          <w:p w:rsidR="002F7158" w:rsidRPr="00764568" w:rsidRDefault="002F7158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Be provided with meeting minutes.</w:t>
            </w:r>
          </w:p>
          <w:p w:rsidR="002F7158" w:rsidRDefault="002F7158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 xml:space="preserve">Represent major activities of your business. </w:t>
            </w:r>
          </w:p>
          <w:p w:rsidR="003F4F4E" w:rsidRPr="00764568" w:rsidRDefault="003F4F4E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sz w:val="22"/>
                <w:szCs w:val="22"/>
              </w:rPr>
              <w:t>Safety and health issues</w:t>
            </w:r>
          </w:p>
          <w:p w:rsidR="003F4F4E" w:rsidRPr="00764568" w:rsidRDefault="003F4F4E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sz w:val="22"/>
                <w:szCs w:val="22"/>
              </w:rPr>
              <w:t>Accident investigations, causes, and the suggested corrective measures.</w:t>
            </w:r>
          </w:p>
          <w:p w:rsidR="003F4F4E" w:rsidRPr="0055092F" w:rsidRDefault="003F4F4E" w:rsidP="003F4F4E">
            <w:pPr>
              <w:widowControl/>
              <w:rPr>
                <w:rFonts w:ascii="Arial" w:hAnsi="Arial" w:cs="Arial"/>
                <w:color w:val="auto"/>
                <w:sz w:val="2"/>
                <w:szCs w:val="30"/>
              </w:rPr>
            </w:pPr>
          </w:p>
          <w:p w:rsidR="003F4F4E" w:rsidRPr="003F4F4E" w:rsidRDefault="003F4F4E" w:rsidP="003F4F4E">
            <w:pPr>
              <w:widowControl/>
              <w:rPr>
                <w:sz w:val="8"/>
              </w:rPr>
            </w:pPr>
            <w:r w:rsidRPr="0055092F">
              <w:rPr>
                <w:sz w:val="8"/>
              </w:rPr>
              <w:t xml:space="preserve"> </w:t>
            </w:r>
          </w:p>
          <w:p w:rsidR="00EE220B" w:rsidRPr="00764568" w:rsidRDefault="00EE220B" w:rsidP="00EE220B">
            <w:pPr>
              <w:widowControl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Written records for each meeting will be kept for three years and include the following:</w:t>
            </w:r>
          </w:p>
          <w:p w:rsidR="00E369A6" w:rsidRPr="00764568" w:rsidRDefault="00E369A6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Names of attendees.</w:t>
            </w:r>
          </w:p>
          <w:p w:rsidR="00E369A6" w:rsidRPr="00764568" w:rsidRDefault="00E369A6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Meeting date.</w:t>
            </w:r>
          </w:p>
          <w:p w:rsidR="00E369A6" w:rsidRPr="00764568" w:rsidRDefault="00E369A6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All safety and health issues discussed, including tools, equipment, work environment, and work practice hazards.</w:t>
            </w:r>
          </w:p>
          <w:p w:rsidR="00E369A6" w:rsidRPr="00764568" w:rsidRDefault="00E369A6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Recommendations for corrective action and a reasonable date by which management agrees to respond.</w:t>
            </w:r>
          </w:p>
          <w:p w:rsidR="00E369A6" w:rsidRPr="00764568" w:rsidRDefault="00E369A6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Person responsible for follow up on any recommended corrective actions.</w:t>
            </w:r>
          </w:p>
          <w:p w:rsidR="00E369A6" w:rsidRPr="00764568" w:rsidRDefault="00E369A6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All reports, evaluations</w:t>
            </w:r>
            <w:r w:rsidR="005D238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 xml:space="preserve"> and recommendations made by the committee.</w:t>
            </w:r>
          </w:p>
          <w:p w:rsidR="004E55B0" w:rsidRPr="00764568" w:rsidRDefault="004E55B0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Use form in Appendix A for documentation of meeting minutes.</w:t>
            </w:r>
          </w:p>
          <w:p w:rsidR="00E369A6" w:rsidRPr="00764568" w:rsidRDefault="00533B40" w:rsidP="00533B40">
            <w:pPr>
              <w:widowControl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The committee will inspect administrativ</w:t>
            </w:r>
            <w:r w:rsidR="00B03FB5" w:rsidRPr="00764568">
              <w:rPr>
                <w:rFonts w:ascii="Arial" w:hAnsi="Arial" w:cs="Arial"/>
                <w:color w:val="auto"/>
                <w:sz w:val="22"/>
                <w:szCs w:val="22"/>
              </w:rPr>
              <w:t>e buildings at least quarterly with an employer and employee representative</w:t>
            </w:r>
            <w:r w:rsidR="003F4F4E">
              <w:rPr>
                <w:rFonts w:ascii="Arial" w:hAnsi="Arial" w:cs="Arial"/>
                <w:color w:val="auto"/>
                <w:sz w:val="22"/>
                <w:szCs w:val="22"/>
              </w:rPr>
              <w:t xml:space="preserve"> using the form in Appendix B</w:t>
            </w:r>
            <w:r w:rsidR="00B03FB5" w:rsidRPr="0076456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55092F" w:rsidRPr="00764568" w:rsidRDefault="0055092F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Work with management to establish, amend or adopt accident investigation procedures that will identify and correct hazards.</w:t>
            </w:r>
          </w:p>
          <w:p w:rsidR="0055092F" w:rsidRPr="00764568" w:rsidRDefault="0055092F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 xml:space="preserve">Have a system that allows employees an opportunity to report </w:t>
            </w:r>
            <w:proofErr w:type="gramStart"/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hazards and safety</w:t>
            </w:r>
            <w:proofErr w:type="gramEnd"/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 xml:space="preserve"> and health related suggestions.</w:t>
            </w:r>
          </w:p>
          <w:p w:rsidR="0055092F" w:rsidRPr="00764568" w:rsidRDefault="0055092F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Establish procedures for reviewing inspection reports and for making recommendations to management.</w:t>
            </w:r>
          </w:p>
          <w:p w:rsidR="0055092F" w:rsidRPr="00764568" w:rsidRDefault="0055092F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 xml:space="preserve">Evaluate all accident and incident investigations and make recommendations for ways to prevent similar events from occurring. </w:t>
            </w:r>
          </w:p>
          <w:p w:rsidR="0055092F" w:rsidRPr="00764568" w:rsidRDefault="0055092F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Make safety committee meeting minutes available for all employees to review</w:t>
            </w:r>
            <w:r w:rsidR="005D238D">
              <w:rPr>
                <w:rFonts w:ascii="Arial" w:hAnsi="Arial" w:cs="Arial"/>
                <w:color w:val="auto"/>
                <w:sz w:val="22"/>
                <w:szCs w:val="22"/>
              </w:rPr>
              <w:t>. M</w:t>
            </w:r>
            <w:r w:rsidR="00764568" w:rsidRPr="00764568">
              <w:rPr>
                <w:rFonts w:ascii="Arial" w:hAnsi="Arial" w:cs="Arial"/>
                <w:color w:val="auto"/>
                <w:sz w:val="22"/>
                <w:szCs w:val="22"/>
              </w:rPr>
              <w:t>inut</w:t>
            </w:r>
            <w:bookmarkStart w:id="0" w:name="_GoBack"/>
            <w:bookmarkEnd w:id="0"/>
            <w:r w:rsidR="00764568" w:rsidRPr="00764568">
              <w:rPr>
                <w:rFonts w:ascii="Arial" w:hAnsi="Arial" w:cs="Arial"/>
                <w:color w:val="auto"/>
                <w:sz w:val="22"/>
                <w:szCs w:val="22"/>
              </w:rPr>
              <w:t>es will be posted on SOU website</w:t>
            </w: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764568" w:rsidRPr="00764568" w:rsidRDefault="0055092F" w:rsidP="003F4F4E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4568">
              <w:rPr>
                <w:rFonts w:ascii="Arial" w:hAnsi="Arial" w:cs="Arial"/>
                <w:color w:val="auto"/>
                <w:sz w:val="22"/>
                <w:szCs w:val="22"/>
              </w:rPr>
              <w:t xml:space="preserve">Evaluate management’s accountability system for safety and health, and recommend improvements. </w:t>
            </w:r>
          </w:p>
          <w:p w:rsidR="00EE220B" w:rsidRPr="0055092F" w:rsidRDefault="00EE220B" w:rsidP="00EE220B">
            <w:pPr>
              <w:widowControl/>
              <w:rPr>
                <w:rFonts w:ascii="Arial" w:hAnsi="Arial" w:cs="Arial"/>
                <w:color w:val="auto"/>
                <w:sz w:val="2"/>
                <w:szCs w:val="30"/>
              </w:rPr>
            </w:pPr>
          </w:p>
          <w:p w:rsidR="000A4244" w:rsidRPr="0055092F" w:rsidRDefault="002F7158">
            <w:pPr>
              <w:widowControl/>
              <w:rPr>
                <w:sz w:val="8"/>
              </w:rPr>
            </w:pPr>
            <w:r w:rsidRPr="0055092F">
              <w:rPr>
                <w:sz w:val="8"/>
              </w:rPr>
              <w:t xml:space="preserve"> </w:t>
            </w:r>
          </w:p>
          <w:p w:rsidR="000A4244" w:rsidRPr="0055092F" w:rsidRDefault="000A4244">
            <w:pPr>
              <w:ind w:left="720"/>
            </w:pPr>
          </w:p>
          <w:p w:rsidR="000A4244" w:rsidRPr="0055092F" w:rsidRDefault="000A4244">
            <w:pPr>
              <w:ind w:left="720"/>
            </w:pPr>
          </w:p>
        </w:tc>
      </w:tr>
      <w:tr w:rsidR="000A4244">
        <w:trPr>
          <w:trHeight w:val="320"/>
        </w:trPr>
        <w:tc>
          <w:tcPr>
            <w:tcW w:w="10584" w:type="dxa"/>
            <w:shd w:val="clear" w:color="auto" w:fill="D9D9D9"/>
            <w:tcMar>
              <w:left w:w="115" w:type="dxa"/>
              <w:right w:w="115" w:type="dxa"/>
            </w:tcMar>
          </w:tcPr>
          <w:p w:rsidR="000A4244" w:rsidRDefault="003F4F4E">
            <w:r>
              <w:rPr>
                <w:sz w:val="22"/>
                <w:szCs w:val="22"/>
              </w:rPr>
              <w:lastRenderedPageBreak/>
              <w:t xml:space="preserve">This procedure </w:t>
            </w:r>
            <w:proofErr w:type="gramStart"/>
            <w:r>
              <w:rPr>
                <w:sz w:val="22"/>
                <w:szCs w:val="22"/>
              </w:rPr>
              <w:t>may be revised</w:t>
            </w:r>
            <w:proofErr w:type="gramEnd"/>
            <w:r>
              <w:rPr>
                <w:sz w:val="22"/>
                <w:szCs w:val="22"/>
              </w:rPr>
              <w:t xml:space="preserve"> at any time without notice. All revisions supersede prior procedures and are effective immediately upon approval.</w:t>
            </w:r>
          </w:p>
        </w:tc>
      </w:tr>
    </w:tbl>
    <w:p w:rsidR="000A4244" w:rsidRDefault="000A4244"/>
    <w:p w:rsidR="000A4244" w:rsidRDefault="003F4F4E">
      <w:pPr>
        <w:rPr>
          <w:b/>
          <w:sz w:val="22"/>
          <w:szCs w:val="22"/>
        </w:rPr>
      </w:pPr>
      <w:r>
        <w:rPr>
          <w:b/>
          <w:sz w:val="22"/>
          <w:szCs w:val="22"/>
        </w:rPr>
        <w:t>D. Appendix</w:t>
      </w:r>
    </w:p>
    <w:p w:rsidR="001D6716" w:rsidRDefault="001D6716">
      <w:pPr>
        <w:rPr>
          <w:b/>
          <w:sz w:val="22"/>
          <w:szCs w:val="22"/>
        </w:rPr>
      </w:pPr>
    </w:p>
    <w:p w:rsidR="001D6716" w:rsidRDefault="001D6716">
      <w:r>
        <w:rPr>
          <w:b/>
          <w:sz w:val="22"/>
          <w:szCs w:val="22"/>
        </w:rPr>
        <w:t>Appendix A:</w:t>
      </w:r>
    </w:p>
    <w:tbl>
      <w:tblPr>
        <w:tblStyle w:val="a4"/>
        <w:tblW w:w="10480" w:type="dxa"/>
        <w:tblInd w:w="-115" w:type="dxa"/>
        <w:tblLayout w:type="fixed"/>
        <w:tblLook w:val="0600" w:firstRow="0" w:lastRow="0" w:firstColumn="0" w:lastColumn="0" w:noHBand="1" w:noVBand="1"/>
      </w:tblPr>
      <w:tblGrid>
        <w:gridCol w:w="10480"/>
      </w:tblGrid>
      <w:tr w:rsidR="000A4244">
        <w:trPr>
          <w:trHeight w:val="320"/>
        </w:trPr>
        <w:tc>
          <w:tcPr>
            <w:tcW w:w="1048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0A4244" w:rsidRDefault="000A4244">
            <w:pPr>
              <w:widowControl/>
            </w:pPr>
          </w:p>
        </w:tc>
      </w:tr>
    </w:tbl>
    <w:p w:rsidR="000A4244" w:rsidRDefault="001D6716">
      <w:r>
        <w:rPr>
          <w:noProof/>
        </w:rPr>
        <w:drawing>
          <wp:inline distT="0" distB="0" distL="0" distR="0">
            <wp:extent cx="6200775" cy="3949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939" cy="396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B0" w:rsidRDefault="004E55B0"/>
    <w:p w:rsidR="001D6716" w:rsidRDefault="001D6716">
      <w:pPr>
        <w:rPr>
          <w:b/>
        </w:rPr>
      </w:pPr>
      <w:r w:rsidRPr="001D6716">
        <w:rPr>
          <w:b/>
        </w:rPr>
        <w:lastRenderedPageBreak/>
        <w:t>Appendix B</w:t>
      </w:r>
    </w:p>
    <w:p w:rsidR="001D6716" w:rsidRDefault="000F5BC0">
      <w:pPr>
        <w:rPr>
          <w:b/>
        </w:rPr>
      </w:pPr>
      <w:r>
        <w:rPr>
          <w:b/>
          <w:noProof/>
        </w:rPr>
        <w:drawing>
          <wp:inline distT="0" distB="0" distL="0" distR="0">
            <wp:extent cx="6675120" cy="75895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</w:p>
    <w:p w:rsidR="004E55B0" w:rsidRDefault="004E55B0">
      <w:pPr>
        <w:rPr>
          <w:b/>
        </w:rPr>
      </w:pPr>
      <w:r>
        <w:rPr>
          <w:b/>
        </w:rPr>
        <w:t>Appendix B (cont.)</w:t>
      </w:r>
    </w:p>
    <w:p w:rsidR="004E55B0" w:rsidRPr="001D6716" w:rsidRDefault="004E55B0">
      <w:pPr>
        <w:rPr>
          <w:b/>
        </w:rPr>
      </w:pPr>
      <w:r>
        <w:rPr>
          <w:b/>
          <w:noProof/>
        </w:rPr>
        <w:drawing>
          <wp:inline distT="0" distB="0" distL="0" distR="0">
            <wp:extent cx="6648450" cy="63296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32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5B0" w:rsidRPr="001D6716">
      <w:footerReference w:type="default" r:id="rId11"/>
      <w:pgSz w:w="12240" w:h="15840"/>
      <w:pgMar w:top="720" w:right="990" w:bottom="810" w:left="77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A5" w:rsidRDefault="003F4F4E">
      <w:r>
        <w:separator/>
      </w:r>
    </w:p>
  </w:endnote>
  <w:endnote w:type="continuationSeparator" w:id="0">
    <w:p w:rsidR="009478A5" w:rsidRDefault="003F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244" w:rsidRDefault="000A4244">
    <w:pPr>
      <w:tabs>
        <w:tab w:val="right" w:pos="10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A5" w:rsidRDefault="003F4F4E">
      <w:r>
        <w:separator/>
      </w:r>
    </w:p>
  </w:footnote>
  <w:footnote w:type="continuationSeparator" w:id="0">
    <w:p w:rsidR="009478A5" w:rsidRDefault="003F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329F"/>
    <w:multiLevelType w:val="hybridMultilevel"/>
    <w:tmpl w:val="983E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394"/>
    <w:multiLevelType w:val="hybridMultilevel"/>
    <w:tmpl w:val="CAFE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0482"/>
    <w:multiLevelType w:val="hybridMultilevel"/>
    <w:tmpl w:val="8D0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767B9"/>
    <w:multiLevelType w:val="hybridMultilevel"/>
    <w:tmpl w:val="E6DA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349"/>
    <w:multiLevelType w:val="hybridMultilevel"/>
    <w:tmpl w:val="130A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C3140"/>
    <w:multiLevelType w:val="hybridMultilevel"/>
    <w:tmpl w:val="DBC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44"/>
    <w:rsid w:val="000A4244"/>
    <w:rsid w:val="000F5BC0"/>
    <w:rsid w:val="001D6716"/>
    <w:rsid w:val="002F7158"/>
    <w:rsid w:val="003F4F4E"/>
    <w:rsid w:val="004E55B0"/>
    <w:rsid w:val="00533B40"/>
    <w:rsid w:val="0055092F"/>
    <w:rsid w:val="005D238D"/>
    <w:rsid w:val="00764568"/>
    <w:rsid w:val="007E7E1E"/>
    <w:rsid w:val="009405F1"/>
    <w:rsid w:val="009478A5"/>
    <w:rsid w:val="00966F01"/>
    <w:rsid w:val="00B03FB5"/>
    <w:rsid w:val="00C570BC"/>
    <w:rsid w:val="00E369A6"/>
    <w:rsid w:val="00E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A221"/>
  <w15:docId w15:val="{F6C5E65A-92F6-4D3F-905A-8AE83DEC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6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Deen</dc:creator>
  <cp:lastModifiedBy>Russell Deen</cp:lastModifiedBy>
  <cp:revision>5</cp:revision>
  <dcterms:created xsi:type="dcterms:W3CDTF">2017-04-25T16:48:00Z</dcterms:created>
  <dcterms:modified xsi:type="dcterms:W3CDTF">2017-10-04T23:55:00Z</dcterms:modified>
</cp:coreProperties>
</file>