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a"/>
        <w:tblW w:w="8820" w:type="dxa"/>
        <w:tblLayout w:type="fixed"/>
        <w:tblLook w:val="0600" w:firstRow="0" w:lastRow="0" w:firstColumn="0" w:lastColumn="0" w:noHBand="1" w:noVBand="1"/>
        <w:tblCaption w:val="Procedure title"/>
      </w:tblPr>
      <w:tblGrid>
        <w:gridCol w:w="8820"/>
      </w:tblGrid>
      <w:tr w:rsidR="00616159">
        <w:trPr>
          <w:trHeight w:val="320"/>
        </w:trPr>
        <w:tc>
          <w:tcPr>
            <w:tcW w:w="8820" w:type="dxa"/>
            <w:shd w:val="clear" w:color="auto" w:fill="FFFFFF"/>
            <w:tcMar>
              <w:left w:w="115" w:type="dxa"/>
              <w:right w:w="115" w:type="dxa"/>
            </w:tcMar>
            <w:vAlign w:val="center"/>
          </w:tcPr>
          <w:p w:rsidR="00616159" w:rsidRDefault="003778F4">
            <w:r>
              <w:rPr>
                <w:noProof/>
              </w:rPr>
              <w:drawing>
                <wp:anchor distT="0" distB="0" distL="114300" distR="114300" simplePos="0" relativeHeight="251658240" behindDoc="0" locked="0" layoutInCell="0" hidden="0" allowOverlap="1">
                  <wp:simplePos x="0" y="0"/>
                  <wp:positionH relativeFrom="margin">
                    <wp:posOffset>0</wp:posOffset>
                  </wp:positionH>
                  <wp:positionV relativeFrom="paragraph">
                    <wp:posOffset>0</wp:posOffset>
                  </wp:positionV>
                  <wp:extent cx="937895" cy="239395"/>
                  <wp:effectExtent l="0" t="0" r="0" b="8255"/>
                  <wp:wrapSquare wrapText="bothSides" distT="0" distB="0" distL="114300" distR="114300"/>
                  <wp:docPr id="1" name="image01.jpg" title="SOU Logo"/>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937895" cy="239395"/>
                          </a:xfrm>
                          <a:prstGeom prst="rect">
                            <a:avLst/>
                          </a:prstGeom>
                          <a:ln/>
                        </pic:spPr>
                      </pic:pic>
                    </a:graphicData>
                  </a:graphic>
                </wp:anchor>
              </w:drawing>
            </w:r>
            <w:r w:rsidR="007238A3">
              <w:rPr>
                <w:sz w:val="32"/>
                <w:szCs w:val="32"/>
              </w:rPr>
              <w:t xml:space="preserve">      </w:t>
            </w:r>
            <w:r>
              <w:rPr>
                <w:sz w:val="32"/>
                <w:szCs w:val="32"/>
              </w:rPr>
              <w:t>Replace this with procedure title</w:t>
            </w:r>
          </w:p>
        </w:tc>
      </w:tr>
    </w:tbl>
    <w:p w:rsidR="00616159" w:rsidRDefault="00616159">
      <w:pPr>
        <w:tabs>
          <w:tab w:val="left" w:pos="-54"/>
        </w:tabs>
      </w:pPr>
    </w:p>
    <w:p w:rsidR="00616159" w:rsidRDefault="003778F4">
      <w:pPr>
        <w:tabs>
          <w:tab w:val="left" w:pos="-54"/>
        </w:tabs>
        <w:ind w:left="35"/>
      </w:pPr>
      <w:r>
        <w:rPr>
          <w:b/>
          <w:sz w:val="22"/>
          <w:szCs w:val="22"/>
        </w:rPr>
        <w:t>Office:</w:t>
      </w:r>
      <w:r w:rsidR="0022681F">
        <w:rPr>
          <w:b/>
          <w:sz w:val="22"/>
          <w:szCs w:val="22"/>
        </w:rPr>
        <w:t xml:space="preserve"> Environmental Health, Safety and Risk</w:t>
      </w:r>
    </w:p>
    <w:p w:rsidR="00616159" w:rsidRDefault="003778F4">
      <w:pPr>
        <w:tabs>
          <w:tab w:val="left" w:pos="-54"/>
        </w:tabs>
        <w:ind w:left="35"/>
      </w:pPr>
      <w:r>
        <w:rPr>
          <w:b/>
          <w:sz w:val="22"/>
          <w:szCs w:val="22"/>
        </w:rPr>
        <w:t>Procedure Contact:</w:t>
      </w:r>
      <w:r w:rsidR="0022681F">
        <w:rPr>
          <w:b/>
          <w:sz w:val="22"/>
          <w:szCs w:val="22"/>
        </w:rPr>
        <w:t xml:space="preserve"> </w:t>
      </w:r>
      <w:r w:rsidR="0022681F" w:rsidRPr="0022681F">
        <w:rPr>
          <w:b/>
          <w:sz w:val="22"/>
          <w:szCs w:val="22"/>
        </w:rPr>
        <w:t>Russell Deen</w:t>
      </w:r>
    </w:p>
    <w:p w:rsidR="00616159" w:rsidRDefault="003778F4">
      <w:pPr>
        <w:tabs>
          <w:tab w:val="left" w:pos="-54"/>
        </w:tabs>
        <w:ind w:left="35"/>
      </w:pPr>
      <w:r>
        <w:rPr>
          <w:b/>
          <w:sz w:val="22"/>
          <w:szCs w:val="22"/>
        </w:rPr>
        <w:t>Related Policy or Policies:</w:t>
      </w:r>
      <w:r w:rsidR="0022681F">
        <w:rPr>
          <w:b/>
          <w:sz w:val="22"/>
          <w:szCs w:val="22"/>
        </w:rPr>
        <w:t xml:space="preserve"> FAD.085</w:t>
      </w:r>
    </w:p>
    <w:p w:rsidR="00616159" w:rsidRDefault="003778F4" w:rsidP="00B15D6C">
      <w:pPr>
        <w:pStyle w:val="Heading1"/>
      </w:pPr>
      <w:r>
        <w:t>Revision History</w:t>
      </w:r>
    </w:p>
    <w:tbl>
      <w:tblPr>
        <w:tblStyle w:val="a0"/>
        <w:tblW w:w="1054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20" w:firstRow="1" w:lastRow="0" w:firstColumn="0" w:lastColumn="0" w:noHBand="0" w:noVBand="0"/>
        <w:tblCaption w:val="Revision history"/>
      </w:tblPr>
      <w:tblGrid>
        <w:gridCol w:w="1728"/>
        <w:gridCol w:w="7020"/>
        <w:gridCol w:w="1800"/>
      </w:tblGrid>
      <w:tr w:rsidR="00616159" w:rsidTr="00B15D6C">
        <w:trPr>
          <w:trHeight w:val="220"/>
        </w:trPr>
        <w:tc>
          <w:tcPr>
            <w:tcW w:w="1728" w:type="dxa"/>
            <w:tcBorders>
              <w:bottom w:val="single" w:sz="4" w:space="0" w:color="808080"/>
            </w:tcBorders>
            <w:shd w:val="clear" w:color="auto" w:fill="D9D9D9"/>
            <w:tcMar>
              <w:top w:w="43" w:type="dxa"/>
              <w:left w:w="43" w:type="dxa"/>
              <w:bottom w:w="43" w:type="dxa"/>
              <w:right w:w="43" w:type="dxa"/>
            </w:tcMar>
            <w:vAlign w:val="center"/>
          </w:tcPr>
          <w:p w:rsidR="00616159" w:rsidRDefault="003778F4">
            <w:r>
              <w:rPr>
                <w:b/>
                <w:sz w:val="22"/>
                <w:szCs w:val="22"/>
              </w:rPr>
              <w:t>Revision Number:</w:t>
            </w:r>
          </w:p>
        </w:tc>
        <w:tc>
          <w:tcPr>
            <w:tcW w:w="7020" w:type="dxa"/>
            <w:tcBorders>
              <w:bottom w:val="single" w:sz="4" w:space="0" w:color="808080"/>
            </w:tcBorders>
            <w:shd w:val="clear" w:color="auto" w:fill="D9D9D9"/>
            <w:tcMar>
              <w:top w:w="43" w:type="dxa"/>
              <w:left w:w="43" w:type="dxa"/>
              <w:bottom w:w="43" w:type="dxa"/>
              <w:right w:w="43" w:type="dxa"/>
            </w:tcMar>
            <w:vAlign w:val="center"/>
          </w:tcPr>
          <w:p w:rsidR="00616159" w:rsidRDefault="003778F4">
            <w:r>
              <w:rPr>
                <w:b/>
                <w:sz w:val="22"/>
                <w:szCs w:val="22"/>
              </w:rPr>
              <w:t>Change:</w:t>
            </w:r>
          </w:p>
        </w:tc>
        <w:tc>
          <w:tcPr>
            <w:tcW w:w="1800" w:type="dxa"/>
            <w:tcBorders>
              <w:bottom w:val="single" w:sz="4" w:space="0" w:color="808080"/>
            </w:tcBorders>
            <w:shd w:val="clear" w:color="auto" w:fill="D9D9D9"/>
            <w:tcMar>
              <w:top w:w="43" w:type="dxa"/>
              <w:left w:w="43" w:type="dxa"/>
              <w:bottom w:w="43" w:type="dxa"/>
              <w:right w:w="43" w:type="dxa"/>
            </w:tcMar>
            <w:vAlign w:val="center"/>
          </w:tcPr>
          <w:p w:rsidR="00616159" w:rsidRDefault="003778F4">
            <w:r>
              <w:rPr>
                <w:b/>
                <w:sz w:val="22"/>
                <w:szCs w:val="22"/>
              </w:rPr>
              <w:t>Date:</w:t>
            </w:r>
          </w:p>
        </w:tc>
      </w:tr>
      <w:tr w:rsidR="00616159" w:rsidTr="00B15D6C">
        <w:trPr>
          <w:trHeight w:val="220"/>
        </w:trPr>
        <w:tc>
          <w:tcPr>
            <w:tcW w:w="1728" w:type="dxa"/>
            <w:tcBorders>
              <w:bottom w:val="single" w:sz="4" w:space="0" w:color="808080"/>
            </w:tcBorders>
            <w:tcMar>
              <w:top w:w="43" w:type="dxa"/>
              <w:left w:w="43" w:type="dxa"/>
              <w:bottom w:w="43" w:type="dxa"/>
              <w:right w:w="43" w:type="dxa"/>
            </w:tcMar>
            <w:vAlign w:val="center"/>
          </w:tcPr>
          <w:p w:rsidR="00616159" w:rsidRDefault="00616159"/>
        </w:tc>
        <w:tc>
          <w:tcPr>
            <w:tcW w:w="7020" w:type="dxa"/>
            <w:tcBorders>
              <w:bottom w:val="single" w:sz="4" w:space="0" w:color="808080"/>
            </w:tcBorders>
            <w:tcMar>
              <w:top w:w="43" w:type="dxa"/>
              <w:left w:w="43" w:type="dxa"/>
              <w:bottom w:w="43" w:type="dxa"/>
              <w:right w:w="43" w:type="dxa"/>
            </w:tcMar>
            <w:vAlign w:val="center"/>
          </w:tcPr>
          <w:p w:rsidR="00616159" w:rsidRDefault="0022681F">
            <w:r>
              <w:t>Initial</w:t>
            </w:r>
          </w:p>
        </w:tc>
        <w:tc>
          <w:tcPr>
            <w:tcW w:w="1800" w:type="dxa"/>
            <w:tcBorders>
              <w:bottom w:val="single" w:sz="4" w:space="0" w:color="808080"/>
            </w:tcBorders>
            <w:tcMar>
              <w:top w:w="43" w:type="dxa"/>
              <w:left w:w="43" w:type="dxa"/>
              <w:bottom w:w="43" w:type="dxa"/>
              <w:right w:w="43" w:type="dxa"/>
            </w:tcMar>
            <w:vAlign w:val="center"/>
          </w:tcPr>
          <w:p w:rsidR="00616159" w:rsidRDefault="0022681F">
            <w:r>
              <w:t>12/01/2022</w:t>
            </w:r>
          </w:p>
        </w:tc>
      </w:tr>
      <w:tr w:rsidR="00616159" w:rsidTr="00B15D6C">
        <w:trPr>
          <w:trHeight w:val="220"/>
        </w:trPr>
        <w:tc>
          <w:tcPr>
            <w:tcW w:w="1728" w:type="dxa"/>
            <w:tcBorders>
              <w:bottom w:val="single" w:sz="4" w:space="0" w:color="808080"/>
            </w:tcBorders>
            <w:tcMar>
              <w:top w:w="43" w:type="dxa"/>
              <w:left w:w="43" w:type="dxa"/>
              <w:bottom w:w="43" w:type="dxa"/>
              <w:right w:w="43" w:type="dxa"/>
            </w:tcMar>
            <w:vAlign w:val="center"/>
          </w:tcPr>
          <w:p w:rsidR="00616159" w:rsidRDefault="00616159"/>
        </w:tc>
        <w:tc>
          <w:tcPr>
            <w:tcW w:w="7020" w:type="dxa"/>
            <w:tcBorders>
              <w:bottom w:val="single" w:sz="4" w:space="0" w:color="808080"/>
            </w:tcBorders>
            <w:tcMar>
              <w:top w:w="43" w:type="dxa"/>
              <w:left w:w="43" w:type="dxa"/>
              <w:bottom w:w="43" w:type="dxa"/>
              <w:right w:w="43" w:type="dxa"/>
            </w:tcMar>
            <w:vAlign w:val="center"/>
          </w:tcPr>
          <w:p w:rsidR="00616159" w:rsidRDefault="00616159"/>
        </w:tc>
        <w:tc>
          <w:tcPr>
            <w:tcW w:w="1800" w:type="dxa"/>
            <w:tcBorders>
              <w:bottom w:val="single" w:sz="4" w:space="0" w:color="808080"/>
            </w:tcBorders>
            <w:tcMar>
              <w:top w:w="43" w:type="dxa"/>
              <w:left w:w="43" w:type="dxa"/>
              <w:bottom w:w="43" w:type="dxa"/>
              <w:right w:w="43" w:type="dxa"/>
            </w:tcMar>
            <w:vAlign w:val="center"/>
          </w:tcPr>
          <w:p w:rsidR="00616159" w:rsidRDefault="00616159"/>
        </w:tc>
      </w:tr>
    </w:tbl>
    <w:p w:rsidR="00616159" w:rsidRDefault="003778F4" w:rsidP="00B15D6C">
      <w:pPr>
        <w:pStyle w:val="Heading2"/>
      </w:pPr>
      <w:r>
        <w:t>A. Purpose</w:t>
      </w:r>
    </w:p>
    <w:tbl>
      <w:tblPr>
        <w:tblStyle w:val="a1"/>
        <w:tblW w:w="10584" w:type="dxa"/>
        <w:tblInd w:w="-115" w:type="dxa"/>
        <w:tblLayout w:type="fixed"/>
        <w:tblLook w:val="0600" w:firstRow="0" w:lastRow="0" w:firstColumn="0" w:lastColumn="0" w:noHBand="1" w:noVBand="1"/>
        <w:tblCaption w:val="Procedure purpose"/>
      </w:tblPr>
      <w:tblGrid>
        <w:gridCol w:w="10584"/>
      </w:tblGrid>
      <w:tr w:rsidR="00616159">
        <w:trPr>
          <w:trHeight w:val="320"/>
        </w:trPr>
        <w:tc>
          <w:tcPr>
            <w:tcW w:w="10584" w:type="dxa"/>
            <w:shd w:val="clear" w:color="auto" w:fill="FFFFFF"/>
            <w:tcMar>
              <w:left w:w="115" w:type="dxa"/>
              <w:right w:w="115" w:type="dxa"/>
            </w:tcMar>
            <w:vAlign w:val="center"/>
          </w:tcPr>
          <w:p w:rsidR="00616159" w:rsidRDefault="0022681F">
            <w:pPr>
              <w:widowControl/>
            </w:pPr>
            <w:r>
              <w:rPr>
                <w:sz w:val="22"/>
                <w:szCs w:val="22"/>
              </w:rPr>
              <w:t>To promote a safe environment without over taxing the power supply.</w:t>
            </w:r>
          </w:p>
        </w:tc>
      </w:tr>
    </w:tbl>
    <w:p w:rsidR="00616159" w:rsidRDefault="003778F4" w:rsidP="00B15D6C">
      <w:pPr>
        <w:pStyle w:val="Heading2"/>
      </w:pPr>
      <w:r>
        <w:t>B. Definitions</w:t>
      </w:r>
    </w:p>
    <w:tbl>
      <w:tblPr>
        <w:tblStyle w:val="a2"/>
        <w:tblW w:w="10584" w:type="dxa"/>
        <w:tblInd w:w="-115" w:type="dxa"/>
        <w:tblLayout w:type="fixed"/>
        <w:tblLook w:val="0600" w:firstRow="0" w:lastRow="0" w:firstColumn="0" w:lastColumn="0" w:noHBand="1" w:noVBand="1"/>
        <w:tblCaption w:val="Procedure definitions"/>
      </w:tblPr>
      <w:tblGrid>
        <w:gridCol w:w="10584"/>
      </w:tblGrid>
      <w:tr w:rsidR="00616159">
        <w:trPr>
          <w:trHeight w:val="320"/>
        </w:trPr>
        <w:tc>
          <w:tcPr>
            <w:tcW w:w="10584" w:type="dxa"/>
            <w:shd w:val="clear" w:color="auto" w:fill="FFFFFF"/>
            <w:tcMar>
              <w:left w:w="115" w:type="dxa"/>
              <w:right w:w="115" w:type="dxa"/>
            </w:tcMar>
            <w:vAlign w:val="center"/>
          </w:tcPr>
          <w:p w:rsidR="00616159" w:rsidRDefault="0022681F">
            <w:pPr>
              <w:widowControl/>
            </w:pPr>
            <w:r>
              <w:t>A</w:t>
            </w:r>
            <w:r w:rsidRPr="0022681F">
              <w:t xml:space="preserve"> self-contained appliance, usually electric, for heating an enclosed room.</w:t>
            </w:r>
          </w:p>
        </w:tc>
      </w:tr>
    </w:tbl>
    <w:p w:rsidR="00616159" w:rsidRDefault="003778F4" w:rsidP="00B15D6C">
      <w:pPr>
        <w:pStyle w:val="Heading2"/>
      </w:pPr>
      <w:r>
        <w:t>C. Procedures</w:t>
      </w:r>
    </w:p>
    <w:tbl>
      <w:tblPr>
        <w:tblStyle w:val="a3"/>
        <w:tblW w:w="10584" w:type="dxa"/>
        <w:tblInd w:w="-115" w:type="dxa"/>
        <w:tblLayout w:type="fixed"/>
        <w:tblLook w:val="0600" w:firstRow="0" w:lastRow="0" w:firstColumn="0" w:lastColumn="0" w:noHBand="1" w:noVBand="1"/>
        <w:tblCaption w:val="Procedure description(s)"/>
      </w:tblPr>
      <w:tblGrid>
        <w:gridCol w:w="10584"/>
      </w:tblGrid>
      <w:tr w:rsidR="00616159">
        <w:trPr>
          <w:trHeight w:val="320"/>
        </w:trPr>
        <w:tc>
          <w:tcPr>
            <w:tcW w:w="10584" w:type="dxa"/>
            <w:shd w:val="clear" w:color="auto" w:fill="FFFFFF"/>
            <w:tcMar>
              <w:left w:w="115" w:type="dxa"/>
              <w:right w:w="115" w:type="dxa"/>
            </w:tcMar>
            <w:vAlign w:val="center"/>
          </w:tcPr>
          <w:p w:rsidR="0022681F" w:rsidRPr="00680493" w:rsidRDefault="0022681F" w:rsidP="0022681F">
            <w:pPr>
              <w:widowControl/>
              <w:rPr>
                <w:sz w:val="20"/>
                <w:szCs w:val="20"/>
              </w:rPr>
            </w:pPr>
            <w:r w:rsidRPr="00680493">
              <w:rPr>
                <w:sz w:val="20"/>
                <w:szCs w:val="20"/>
              </w:rPr>
              <w:t xml:space="preserve">Portable space heaters are used for supplementary heating of spaces. Space heaters that are recommended are the oil filled radiator style space heaters. This is due to safety reasons in that they do not get as hot as other styles of heaters and are more energy efficient. </w:t>
            </w:r>
          </w:p>
          <w:p w:rsidR="0022681F" w:rsidRPr="00680493" w:rsidRDefault="0022681F" w:rsidP="0022681F">
            <w:pPr>
              <w:widowControl/>
              <w:rPr>
                <w:sz w:val="20"/>
                <w:szCs w:val="20"/>
              </w:rPr>
            </w:pPr>
            <w:r w:rsidRPr="00680493">
              <w:rPr>
                <w:sz w:val="20"/>
                <w:szCs w:val="20"/>
              </w:rPr>
              <w:t>Space heaters are required to be plugged directly into outlets. Space heaters cannot be plugged into extension cords or power strips. Space heaters cannot be covered by fabric or other flammable material</w:t>
            </w:r>
            <w:r w:rsidR="00D56C27">
              <w:rPr>
                <w:sz w:val="20"/>
                <w:szCs w:val="20"/>
              </w:rPr>
              <w:t xml:space="preserve"> and need 3 foot of clearance from combustible material</w:t>
            </w:r>
            <w:r w:rsidRPr="00680493">
              <w:rPr>
                <w:sz w:val="20"/>
                <w:szCs w:val="20"/>
              </w:rPr>
              <w:t xml:space="preserve">. Damaged units will need to be removed and replaced as required. If unit is causing excessive power drain on building they will need to be replaced.      </w:t>
            </w:r>
          </w:p>
          <w:p w:rsidR="0022681F" w:rsidRPr="00680493" w:rsidRDefault="0022681F" w:rsidP="0022681F">
            <w:pPr>
              <w:widowControl/>
              <w:rPr>
                <w:sz w:val="20"/>
                <w:szCs w:val="20"/>
              </w:rPr>
            </w:pPr>
          </w:p>
          <w:p w:rsidR="0022681F" w:rsidRPr="00680493" w:rsidRDefault="0022681F" w:rsidP="0022681F">
            <w:pPr>
              <w:widowControl/>
              <w:rPr>
                <w:sz w:val="20"/>
                <w:szCs w:val="20"/>
              </w:rPr>
            </w:pPr>
            <w:r w:rsidRPr="00680493">
              <w:rPr>
                <w:sz w:val="20"/>
                <w:szCs w:val="20"/>
              </w:rPr>
              <w:t>Portable electric heaters are high-wattage appliances that have the potential to ignite nearby combustible materials like curtains, beds, sofas, paper, clothing, and flammable liquids. If ignition results from a heater left on and unattended, a major fire could result.</w:t>
            </w:r>
          </w:p>
          <w:p w:rsidR="0022681F" w:rsidRPr="00680493" w:rsidRDefault="0022681F" w:rsidP="0022681F">
            <w:pPr>
              <w:widowControl/>
              <w:rPr>
                <w:sz w:val="20"/>
                <w:szCs w:val="20"/>
              </w:rPr>
            </w:pPr>
          </w:p>
          <w:p w:rsidR="0022681F" w:rsidRDefault="0022681F" w:rsidP="0022681F">
            <w:pPr>
              <w:widowControl/>
              <w:rPr>
                <w:color w:val="333333"/>
                <w:sz w:val="20"/>
                <w:szCs w:val="20"/>
                <w:shd w:val="clear" w:color="auto" w:fill="FFFFFF"/>
              </w:rPr>
            </w:pPr>
            <w:r w:rsidRPr="00680493">
              <w:rPr>
                <w:color w:val="333333"/>
                <w:sz w:val="20"/>
                <w:szCs w:val="20"/>
                <w:shd w:val="clear" w:color="auto" w:fill="FFFFFF"/>
              </w:rPr>
              <w:t>Safety is a top consideration when using space heaters. The U.S. Consumer Product Safety Commission estimates that more than 25,000 residential fires every year are associated with the use of space heaters, resulting in more than 300 deaths. In addition, an estimated 6,000 people receive hospital emergency room care for burn injuries associated with contacting the hot surfaces of room heaters, mostly in non-fire situations.</w:t>
            </w:r>
          </w:p>
          <w:p w:rsidR="0022681F" w:rsidRPr="0022681F" w:rsidRDefault="0022681F" w:rsidP="0022681F">
            <w:pPr>
              <w:widowControl/>
              <w:numPr>
                <w:ilvl w:val="0"/>
                <w:numId w:val="1"/>
              </w:numPr>
              <w:spacing w:before="100" w:beforeAutospacing="1" w:after="100" w:afterAutospacing="1"/>
              <w:rPr>
                <w:color w:val="auto"/>
                <w:sz w:val="20"/>
                <w:szCs w:val="20"/>
              </w:rPr>
            </w:pPr>
            <w:r w:rsidRPr="0022681F">
              <w:rPr>
                <w:color w:val="auto"/>
                <w:sz w:val="20"/>
                <w:szCs w:val="20"/>
              </w:rPr>
              <w:t>All heaters must be Underwriters Listed or Factory Mutual approved for their intended use.</w:t>
            </w:r>
          </w:p>
          <w:p w:rsidR="0022681F" w:rsidRPr="0022681F" w:rsidRDefault="0022681F" w:rsidP="0022681F">
            <w:pPr>
              <w:widowControl/>
              <w:numPr>
                <w:ilvl w:val="0"/>
                <w:numId w:val="1"/>
              </w:numPr>
              <w:spacing w:before="100" w:beforeAutospacing="1" w:after="100" w:afterAutospacing="1"/>
              <w:rPr>
                <w:color w:val="auto"/>
                <w:sz w:val="20"/>
                <w:szCs w:val="20"/>
              </w:rPr>
            </w:pPr>
            <w:r w:rsidRPr="0022681F">
              <w:rPr>
                <w:color w:val="auto"/>
                <w:sz w:val="20"/>
                <w:szCs w:val="20"/>
              </w:rPr>
              <w:t>Heaters must have a thermostat to automatically shut down the unit when the desired temperature is achieved.</w:t>
            </w:r>
          </w:p>
          <w:p w:rsidR="0022681F" w:rsidRPr="0022681F" w:rsidRDefault="0022681F" w:rsidP="0022681F">
            <w:pPr>
              <w:widowControl/>
              <w:numPr>
                <w:ilvl w:val="0"/>
                <w:numId w:val="1"/>
              </w:numPr>
              <w:spacing w:before="100" w:beforeAutospacing="1" w:after="100" w:afterAutospacing="1"/>
              <w:rPr>
                <w:color w:val="auto"/>
                <w:sz w:val="20"/>
                <w:szCs w:val="20"/>
              </w:rPr>
            </w:pPr>
            <w:r w:rsidRPr="0022681F">
              <w:rPr>
                <w:color w:val="auto"/>
                <w:sz w:val="20"/>
                <w:szCs w:val="20"/>
              </w:rPr>
              <w:t xml:space="preserve">Heaters must have a tip-over automatic </w:t>
            </w:r>
            <w:proofErr w:type="spellStart"/>
            <w:r w:rsidRPr="0022681F">
              <w:rPr>
                <w:color w:val="auto"/>
                <w:sz w:val="20"/>
                <w:szCs w:val="20"/>
              </w:rPr>
              <w:t>shut down</w:t>
            </w:r>
            <w:proofErr w:type="spellEnd"/>
            <w:r w:rsidRPr="0022681F">
              <w:rPr>
                <w:color w:val="auto"/>
                <w:sz w:val="20"/>
                <w:szCs w:val="20"/>
              </w:rPr>
              <w:t xml:space="preserve"> feature.</w:t>
            </w:r>
          </w:p>
          <w:p w:rsidR="0022681F" w:rsidRPr="0022681F" w:rsidRDefault="0022681F" w:rsidP="0022681F">
            <w:pPr>
              <w:widowControl/>
              <w:numPr>
                <w:ilvl w:val="0"/>
                <w:numId w:val="1"/>
              </w:numPr>
              <w:spacing w:before="100" w:beforeAutospacing="1" w:after="100" w:afterAutospacing="1"/>
              <w:rPr>
                <w:color w:val="auto"/>
                <w:sz w:val="20"/>
                <w:szCs w:val="20"/>
              </w:rPr>
            </w:pPr>
            <w:r w:rsidRPr="0022681F">
              <w:rPr>
                <w:color w:val="auto"/>
                <w:sz w:val="20"/>
                <w:szCs w:val="20"/>
              </w:rPr>
              <w:t>Heaters must be kept at least 3 feet from all combustible materials, e.g., file cabinets, desks, trash cans, and paper boxes.</w:t>
            </w:r>
          </w:p>
          <w:p w:rsidR="0022681F" w:rsidRPr="0022681F" w:rsidRDefault="0022681F" w:rsidP="0022681F">
            <w:pPr>
              <w:widowControl/>
              <w:numPr>
                <w:ilvl w:val="0"/>
                <w:numId w:val="1"/>
              </w:numPr>
              <w:spacing w:before="100" w:beforeAutospacing="1" w:after="100" w:afterAutospacing="1"/>
              <w:rPr>
                <w:color w:val="auto"/>
                <w:sz w:val="20"/>
                <w:szCs w:val="20"/>
              </w:rPr>
            </w:pPr>
            <w:r w:rsidRPr="0022681F">
              <w:rPr>
                <w:color w:val="auto"/>
                <w:sz w:val="20"/>
                <w:szCs w:val="20"/>
              </w:rPr>
              <w:t>Heaters must be monitored when in operation.</w:t>
            </w:r>
          </w:p>
          <w:p w:rsidR="0022681F" w:rsidRPr="0022681F" w:rsidRDefault="0022681F" w:rsidP="0022681F">
            <w:pPr>
              <w:widowControl/>
              <w:numPr>
                <w:ilvl w:val="0"/>
                <w:numId w:val="1"/>
              </w:numPr>
              <w:spacing w:before="100" w:beforeAutospacing="1" w:after="100" w:afterAutospacing="1"/>
              <w:rPr>
                <w:color w:val="auto"/>
                <w:sz w:val="20"/>
                <w:szCs w:val="20"/>
              </w:rPr>
            </w:pPr>
            <w:r w:rsidRPr="0022681F">
              <w:rPr>
                <w:color w:val="auto"/>
                <w:sz w:val="20"/>
                <w:szCs w:val="20"/>
              </w:rPr>
              <w:t>Heaters missing guards, control knobs, feet, etc. must be taken out of service immediately and repaired by a competent person. Do not use heaters in rooms that will not be continually occupied.</w:t>
            </w:r>
          </w:p>
          <w:p w:rsidR="0022681F" w:rsidRPr="0022681F" w:rsidRDefault="0022681F" w:rsidP="0022681F">
            <w:pPr>
              <w:widowControl/>
              <w:numPr>
                <w:ilvl w:val="0"/>
                <w:numId w:val="1"/>
              </w:numPr>
              <w:spacing w:before="100" w:beforeAutospacing="1" w:after="100" w:afterAutospacing="1"/>
              <w:rPr>
                <w:color w:val="auto"/>
                <w:sz w:val="20"/>
                <w:szCs w:val="20"/>
              </w:rPr>
            </w:pPr>
            <w:r w:rsidRPr="0022681F">
              <w:rPr>
                <w:color w:val="auto"/>
                <w:sz w:val="20"/>
                <w:szCs w:val="20"/>
              </w:rPr>
              <w:t>Do not use portable space heaters if small children are expected in the area.</w:t>
            </w:r>
          </w:p>
          <w:p w:rsidR="0022681F" w:rsidRPr="00D56C27" w:rsidRDefault="0022681F" w:rsidP="0022681F">
            <w:pPr>
              <w:widowControl/>
              <w:numPr>
                <w:ilvl w:val="0"/>
                <w:numId w:val="1"/>
              </w:numPr>
              <w:spacing w:before="100" w:beforeAutospacing="1" w:after="100" w:afterAutospacing="1"/>
              <w:rPr>
                <w:color w:val="auto"/>
                <w:sz w:val="20"/>
                <w:szCs w:val="20"/>
              </w:rPr>
            </w:pPr>
            <w:r w:rsidRPr="0022681F">
              <w:rPr>
                <w:color w:val="auto"/>
                <w:sz w:val="20"/>
                <w:szCs w:val="20"/>
              </w:rPr>
              <w:t>Space heaters of any type are prohibited in laboratories.</w:t>
            </w:r>
          </w:p>
          <w:p w:rsidR="0022681F" w:rsidRPr="00D56C27" w:rsidRDefault="0022681F" w:rsidP="0022681F">
            <w:pPr>
              <w:widowControl/>
              <w:numPr>
                <w:ilvl w:val="0"/>
                <w:numId w:val="1"/>
              </w:numPr>
              <w:spacing w:before="100" w:beforeAutospacing="1" w:after="100" w:afterAutospacing="1"/>
              <w:rPr>
                <w:color w:val="auto"/>
                <w:sz w:val="20"/>
                <w:szCs w:val="20"/>
              </w:rPr>
            </w:pPr>
            <w:r w:rsidRPr="00D56C27">
              <w:rPr>
                <w:color w:val="auto"/>
                <w:sz w:val="20"/>
                <w:szCs w:val="20"/>
              </w:rPr>
              <w:t>It must not take more than 1500 watts to operate.</w:t>
            </w:r>
          </w:p>
          <w:p w:rsidR="0022681F" w:rsidRDefault="0022681F" w:rsidP="0022681F">
            <w:pPr>
              <w:widowControl/>
              <w:numPr>
                <w:ilvl w:val="0"/>
                <w:numId w:val="1"/>
              </w:numPr>
              <w:spacing w:before="100" w:beforeAutospacing="1" w:after="100" w:afterAutospacing="1"/>
              <w:rPr>
                <w:color w:val="auto"/>
              </w:rPr>
            </w:pPr>
            <w:r w:rsidRPr="00D56C27">
              <w:rPr>
                <w:color w:val="auto"/>
                <w:sz w:val="20"/>
                <w:szCs w:val="20"/>
              </w:rPr>
              <w:t>It must have a grounded three-pronged plug</w:t>
            </w:r>
            <w:r>
              <w:rPr>
                <w:color w:val="auto"/>
              </w:rPr>
              <w:t>.</w:t>
            </w:r>
          </w:p>
          <w:p w:rsidR="0022681F" w:rsidRPr="0022681F" w:rsidRDefault="0022681F" w:rsidP="0022681F">
            <w:pPr>
              <w:widowControl/>
              <w:numPr>
                <w:ilvl w:val="0"/>
                <w:numId w:val="1"/>
              </w:numPr>
              <w:spacing w:before="100" w:beforeAutospacing="1" w:after="100" w:afterAutospacing="1"/>
              <w:rPr>
                <w:color w:val="auto"/>
                <w:sz w:val="20"/>
                <w:szCs w:val="20"/>
              </w:rPr>
            </w:pPr>
            <w:r w:rsidRPr="00D56C27">
              <w:rPr>
                <w:color w:val="auto"/>
                <w:sz w:val="20"/>
                <w:szCs w:val="20"/>
              </w:rPr>
              <w:t xml:space="preserve">No external metal surfaces of the heater can reach a </w:t>
            </w:r>
            <w:r w:rsidR="00D56C27" w:rsidRPr="00D56C27">
              <w:rPr>
                <w:color w:val="auto"/>
                <w:sz w:val="20"/>
                <w:szCs w:val="20"/>
              </w:rPr>
              <w:t>temperature</w:t>
            </w:r>
            <w:r w:rsidRPr="00D56C27">
              <w:rPr>
                <w:color w:val="auto"/>
                <w:sz w:val="20"/>
                <w:szCs w:val="20"/>
              </w:rPr>
              <w:t xml:space="preserve"> that will ignite mater</w:t>
            </w:r>
            <w:r w:rsidR="00D56C27">
              <w:rPr>
                <w:color w:val="auto"/>
                <w:sz w:val="20"/>
                <w:szCs w:val="20"/>
              </w:rPr>
              <w:t>i</w:t>
            </w:r>
            <w:r w:rsidRPr="00D56C27">
              <w:rPr>
                <w:color w:val="auto"/>
                <w:sz w:val="20"/>
                <w:szCs w:val="20"/>
              </w:rPr>
              <w:t>al that may come in contact with it.</w:t>
            </w:r>
            <w:bookmarkStart w:id="0" w:name="_GoBack"/>
            <w:bookmarkEnd w:id="0"/>
          </w:p>
          <w:p w:rsidR="0022681F" w:rsidRPr="00680493" w:rsidRDefault="0022681F" w:rsidP="0022681F">
            <w:pPr>
              <w:widowControl/>
              <w:rPr>
                <w:sz w:val="20"/>
                <w:szCs w:val="20"/>
              </w:rPr>
            </w:pPr>
          </w:p>
          <w:p w:rsidR="00616159" w:rsidRDefault="00616159">
            <w:pPr>
              <w:ind w:left="720"/>
            </w:pPr>
          </w:p>
        </w:tc>
      </w:tr>
      <w:tr w:rsidR="00616159">
        <w:trPr>
          <w:trHeight w:val="320"/>
        </w:trPr>
        <w:tc>
          <w:tcPr>
            <w:tcW w:w="10584" w:type="dxa"/>
            <w:shd w:val="clear" w:color="auto" w:fill="D9D9D9"/>
            <w:tcMar>
              <w:left w:w="115" w:type="dxa"/>
              <w:right w:w="115" w:type="dxa"/>
            </w:tcMar>
          </w:tcPr>
          <w:p w:rsidR="00616159" w:rsidRDefault="003778F4">
            <w:r>
              <w:rPr>
                <w:sz w:val="22"/>
                <w:szCs w:val="22"/>
              </w:rPr>
              <w:lastRenderedPageBreak/>
              <w:t>This procedure may be revised at any time without notice. All revisions supersede prior procedures and are effective immediately upon approval.</w:t>
            </w:r>
          </w:p>
        </w:tc>
      </w:tr>
    </w:tbl>
    <w:p w:rsidR="00616159" w:rsidRDefault="003778F4" w:rsidP="00B15D6C">
      <w:pPr>
        <w:pStyle w:val="Heading2"/>
      </w:pPr>
      <w:r>
        <w:t>D. Appendix</w:t>
      </w:r>
    </w:p>
    <w:tbl>
      <w:tblPr>
        <w:tblStyle w:val="a4"/>
        <w:tblW w:w="10480" w:type="dxa"/>
        <w:tblInd w:w="-115" w:type="dxa"/>
        <w:tblLayout w:type="fixed"/>
        <w:tblLook w:val="0600" w:firstRow="0" w:lastRow="0" w:firstColumn="0" w:lastColumn="0" w:noHBand="1" w:noVBand="1"/>
        <w:tblCaption w:val="Procedure appendix"/>
      </w:tblPr>
      <w:tblGrid>
        <w:gridCol w:w="10480"/>
      </w:tblGrid>
      <w:tr w:rsidR="00616159">
        <w:trPr>
          <w:trHeight w:val="320"/>
        </w:trPr>
        <w:tc>
          <w:tcPr>
            <w:tcW w:w="10480" w:type="dxa"/>
            <w:shd w:val="clear" w:color="auto" w:fill="FFFFFF"/>
            <w:tcMar>
              <w:left w:w="115" w:type="dxa"/>
              <w:right w:w="115" w:type="dxa"/>
            </w:tcMar>
            <w:vAlign w:val="center"/>
          </w:tcPr>
          <w:p w:rsidR="00616159" w:rsidRDefault="003778F4">
            <w:pPr>
              <w:widowControl/>
            </w:pPr>
            <w:r>
              <w:rPr>
                <w:sz w:val="22"/>
                <w:szCs w:val="22"/>
              </w:rPr>
              <w:t>Replace this sentence with any appendices or remove</w:t>
            </w:r>
          </w:p>
        </w:tc>
      </w:tr>
    </w:tbl>
    <w:p w:rsidR="00616159" w:rsidRDefault="00616159"/>
    <w:sectPr w:rsidR="00616159">
      <w:footerReference w:type="default" r:id="rId8"/>
      <w:pgSz w:w="12240" w:h="15840"/>
      <w:pgMar w:top="720" w:right="990" w:bottom="810" w:left="77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4B0" w:rsidRDefault="003134B0">
      <w:r>
        <w:separator/>
      </w:r>
    </w:p>
  </w:endnote>
  <w:endnote w:type="continuationSeparator" w:id="0">
    <w:p w:rsidR="003134B0" w:rsidRDefault="0031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159" w:rsidRDefault="00616159">
    <w:pPr>
      <w:tabs>
        <w:tab w:val="right" w:pos="104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4B0" w:rsidRDefault="003134B0">
      <w:r>
        <w:separator/>
      </w:r>
    </w:p>
  </w:footnote>
  <w:footnote w:type="continuationSeparator" w:id="0">
    <w:p w:rsidR="003134B0" w:rsidRDefault="00313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AF010E"/>
    <w:multiLevelType w:val="multilevel"/>
    <w:tmpl w:val="6A46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159"/>
    <w:rsid w:val="0022681F"/>
    <w:rsid w:val="003134B0"/>
    <w:rsid w:val="003778F4"/>
    <w:rsid w:val="00616159"/>
    <w:rsid w:val="007238A3"/>
    <w:rsid w:val="00AB77A1"/>
    <w:rsid w:val="00AD1C08"/>
    <w:rsid w:val="00B15D6C"/>
    <w:rsid w:val="00D56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96BD"/>
  <w15:docId w15:val="{0EA1810E-4CB4-46A2-A4FC-FEEE2A05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rsid w:val="00B15D6C"/>
    <w:pPr>
      <w:keepNext/>
      <w:keepLines/>
      <w:spacing w:before="480" w:after="120"/>
      <w:outlineLvl w:val="0"/>
    </w:pPr>
    <w:rPr>
      <w:b/>
      <w:szCs w:val="48"/>
    </w:rPr>
  </w:style>
  <w:style w:type="paragraph" w:styleId="Heading2">
    <w:name w:val="heading 2"/>
    <w:basedOn w:val="Normal"/>
    <w:next w:val="Normal"/>
    <w:rsid w:val="00B15D6C"/>
    <w:pPr>
      <w:keepNext/>
      <w:keepLines/>
      <w:spacing w:before="360" w:after="80"/>
      <w:outlineLvl w:val="1"/>
    </w:pPr>
    <w:rPr>
      <w:b/>
      <w:szCs w:val="36"/>
    </w:rPr>
  </w:style>
  <w:style w:type="paragraph" w:styleId="Heading3">
    <w:name w:val="heading 3"/>
    <w:basedOn w:val="Normal"/>
    <w:next w:val="Normal"/>
    <w:pPr>
      <w:keepNext/>
      <w:keepLines/>
      <w:spacing w:before="100" w:after="100"/>
      <w:outlineLvl w:val="2"/>
    </w:pPr>
    <w:rPr>
      <w:b/>
      <w:sz w:val="26"/>
      <w:szCs w:val="26"/>
    </w:rPr>
  </w:style>
  <w:style w:type="paragraph" w:styleId="Heading4">
    <w:name w:val="heading 4"/>
    <w:basedOn w:val="Normal"/>
    <w:next w:val="Normal"/>
    <w:pPr>
      <w:keepNext/>
      <w:keepLines/>
      <w:spacing w:before="100" w:after="10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031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 DSS</dc:creator>
  <cp:lastModifiedBy>Russell Deen</cp:lastModifiedBy>
  <cp:revision>2</cp:revision>
  <dcterms:created xsi:type="dcterms:W3CDTF">2022-12-01T23:06:00Z</dcterms:created>
  <dcterms:modified xsi:type="dcterms:W3CDTF">2022-12-01T23:06:00Z</dcterms:modified>
</cp:coreProperties>
</file>