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8820" w:type="dxa"/>
        <w:tblLayout w:type="fixed"/>
        <w:tblLook w:val="0600" w:firstRow="0" w:lastRow="0" w:firstColumn="0" w:lastColumn="0" w:noHBand="1" w:noVBand="1"/>
        <w:tblCaption w:val="Procedure title"/>
      </w:tblPr>
      <w:tblGrid>
        <w:gridCol w:w="8820"/>
      </w:tblGrid>
      <w:tr w:rsidR="00616159">
        <w:trPr>
          <w:trHeight w:val="320"/>
        </w:trPr>
        <w:tc>
          <w:tcPr>
            <w:tcW w:w="8820" w:type="dxa"/>
            <w:shd w:val="clear" w:color="auto" w:fill="FFFFFF"/>
            <w:tcMar>
              <w:left w:w="115" w:type="dxa"/>
              <w:right w:w="115" w:type="dxa"/>
            </w:tcMar>
            <w:vAlign w:val="center"/>
          </w:tcPr>
          <w:p w:rsidR="00616159" w:rsidRDefault="003778F4" w:rsidP="00B166AB">
            <w:r>
              <w:rPr>
                <w:noProof/>
              </w:rPr>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937895" cy="239395"/>
                  <wp:effectExtent l="0" t="0" r="0" b="8255"/>
                  <wp:wrapSquare wrapText="bothSides" distT="0" distB="0" distL="114300" distR="114300"/>
                  <wp:docPr id="1" name="image01.jpg" title="SOU Logo"/>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937895" cy="239395"/>
                          </a:xfrm>
                          <a:prstGeom prst="rect">
                            <a:avLst/>
                          </a:prstGeom>
                          <a:ln/>
                        </pic:spPr>
                      </pic:pic>
                    </a:graphicData>
                  </a:graphic>
                </wp:anchor>
              </w:drawing>
            </w:r>
            <w:r w:rsidR="007238A3">
              <w:rPr>
                <w:sz w:val="32"/>
                <w:szCs w:val="32"/>
              </w:rPr>
              <w:t xml:space="preserve">      </w:t>
            </w:r>
            <w:r w:rsidR="00B166AB">
              <w:rPr>
                <w:sz w:val="32"/>
                <w:szCs w:val="32"/>
              </w:rPr>
              <w:t>Over The Counter Medications</w:t>
            </w:r>
          </w:p>
        </w:tc>
      </w:tr>
    </w:tbl>
    <w:p w:rsidR="00616159" w:rsidRDefault="00616159">
      <w:pPr>
        <w:tabs>
          <w:tab w:val="left" w:pos="-54"/>
        </w:tabs>
      </w:pPr>
    </w:p>
    <w:p w:rsidR="00616159" w:rsidRDefault="003778F4">
      <w:pPr>
        <w:tabs>
          <w:tab w:val="left" w:pos="-54"/>
        </w:tabs>
        <w:ind w:left="35"/>
      </w:pPr>
      <w:r>
        <w:rPr>
          <w:b/>
          <w:sz w:val="22"/>
          <w:szCs w:val="22"/>
        </w:rPr>
        <w:t>Office:</w:t>
      </w:r>
      <w:r w:rsidR="00134408">
        <w:rPr>
          <w:b/>
          <w:sz w:val="22"/>
          <w:szCs w:val="22"/>
        </w:rPr>
        <w:t xml:space="preserve"> EHS</w:t>
      </w:r>
    </w:p>
    <w:p w:rsidR="00616159" w:rsidRDefault="003778F4">
      <w:pPr>
        <w:tabs>
          <w:tab w:val="left" w:pos="-54"/>
        </w:tabs>
        <w:ind w:left="35"/>
      </w:pPr>
      <w:r>
        <w:rPr>
          <w:b/>
          <w:sz w:val="22"/>
          <w:szCs w:val="22"/>
        </w:rPr>
        <w:t>Procedure Contact:</w:t>
      </w:r>
      <w:r w:rsidR="00134408">
        <w:rPr>
          <w:b/>
          <w:sz w:val="22"/>
          <w:szCs w:val="22"/>
        </w:rPr>
        <w:t xml:space="preserve"> Environmental Health and Safety Manager</w:t>
      </w:r>
    </w:p>
    <w:p w:rsidR="00616159" w:rsidRDefault="003778F4">
      <w:pPr>
        <w:tabs>
          <w:tab w:val="left" w:pos="-54"/>
        </w:tabs>
        <w:ind w:left="35"/>
      </w:pPr>
      <w:r>
        <w:rPr>
          <w:b/>
          <w:sz w:val="22"/>
          <w:szCs w:val="22"/>
        </w:rPr>
        <w:t>Related Policy or Policies:</w:t>
      </w:r>
      <w:r w:rsidR="00134408">
        <w:rPr>
          <w:b/>
          <w:sz w:val="22"/>
          <w:szCs w:val="22"/>
        </w:rPr>
        <w:t xml:space="preserve"> Environmental Health and Safety FAD.085</w:t>
      </w:r>
    </w:p>
    <w:p w:rsidR="00616159" w:rsidRDefault="003778F4" w:rsidP="00B15D6C">
      <w:pPr>
        <w:pStyle w:val="Heading1"/>
      </w:pPr>
      <w:r>
        <w:t>Revision History</w:t>
      </w:r>
    </w:p>
    <w:tbl>
      <w:tblPr>
        <w:tblStyle w:val="a0"/>
        <w:tblW w:w="105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Caption w:val="Revision history"/>
      </w:tblPr>
      <w:tblGrid>
        <w:gridCol w:w="1728"/>
        <w:gridCol w:w="7020"/>
        <w:gridCol w:w="1800"/>
      </w:tblGrid>
      <w:tr w:rsidR="00616159" w:rsidTr="00B15D6C">
        <w:trPr>
          <w:trHeight w:val="220"/>
        </w:trPr>
        <w:tc>
          <w:tcPr>
            <w:tcW w:w="1728"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Revision Number:</w:t>
            </w:r>
          </w:p>
        </w:tc>
        <w:tc>
          <w:tcPr>
            <w:tcW w:w="702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Change:</w:t>
            </w:r>
          </w:p>
        </w:tc>
        <w:tc>
          <w:tcPr>
            <w:tcW w:w="1800" w:type="dxa"/>
            <w:tcBorders>
              <w:bottom w:val="single" w:sz="4" w:space="0" w:color="808080"/>
            </w:tcBorders>
            <w:shd w:val="clear" w:color="auto" w:fill="D9D9D9"/>
            <w:tcMar>
              <w:top w:w="43" w:type="dxa"/>
              <w:left w:w="43" w:type="dxa"/>
              <w:bottom w:w="43" w:type="dxa"/>
              <w:right w:w="43" w:type="dxa"/>
            </w:tcMar>
            <w:vAlign w:val="center"/>
          </w:tcPr>
          <w:p w:rsidR="00616159" w:rsidRDefault="003778F4">
            <w:r>
              <w:rPr>
                <w:b/>
                <w:sz w:val="22"/>
                <w:szCs w:val="22"/>
              </w:rPr>
              <w:t>Date:</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134408">
            <w:r>
              <w:t xml:space="preserve">Initial release </w:t>
            </w:r>
          </w:p>
        </w:tc>
        <w:tc>
          <w:tcPr>
            <w:tcW w:w="1800" w:type="dxa"/>
            <w:tcBorders>
              <w:bottom w:val="single" w:sz="4" w:space="0" w:color="808080"/>
            </w:tcBorders>
            <w:tcMar>
              <w:top w:w="43" w:type="dxa"/>
              <w:left w:w="43" w:type="dxa"/>
              <w:bottom w:w="43" w:type="dxa"/>
              <w:right w:w="43" w:type="dxa"/>
            </w:tcMar>
            <w:vAlign w:val="center"/>
          </w:tcPr>
          <w:p w:rsidR="00616159" w:rsidRDefault="00134408">
            <w:r>
              <w:t>02/26/2016</w:t>
            </w:r>
          </w:p>
        </w:tc>
      </w:tr>
      <w:tr w:rsidR="00616159" w:rsidTr="00B15D6C">
        <w:trPr>
          <w:trHeight w:val="220"/>
        </w:trPr>
        <w:tc>
          <w:tcPr>
            <w:tcW w:w="1728" w:type="dxa"/>
            <w:tcBorders>
              <w:bottom w:val="single" w:sz="4" w:space="0" w:color="808080"/>
            </w:tcBorders>
            <w:tcMar>
              <w:top w:w="43" w:type="dxa"/>
              <w:left w:w="43" w:type="dxa"/>
              <w:bottom w:w="43" w:type="dxa"/>
              <w:right w:w="43" w:type="dxa"/>
            </w:tcMar>
            <w:vAlign w:val="center"/>
          </w:tcPr>
          <w:p w:rsidR="00616159" w:rsidRDefault="00616159"/>
        </w:tc>
        <w:tc>
          <w:tcPr>
            <w:tcW w:w="7020" w:type="dxa"/>
            <w:tcBorders>
              <w:bottom w:val="single" w:sz="4" w:space="0" w:color="808080"/>
            </w:tcBorders>
            <w:tcMar>
              <w:top w:w="43" w:type="dxa"/>
              <w:left w:w="43" w:type="dxa"/>
              <w:bottom w:w="43" w:type="dxa"/>
              <w:right w:w="43" w:type="dxa"/>
            </w:tcMar>
            <w:vAlign w:val="center"/>
          </w:tcPr>
          <w:p w:rsidR="00616159" w:rsidRDefault="00616159"/>
        </w:tc>
        <w:tc>
          <w:tcPr>
            <w:tcW w:w="1800" w:type="dxa"/>
            <w:tcBorders>
              <w:bottom w:val="single" w:sz="4" w:space="0" w:color="808080"/>
            </w:tcBorders>
            <w:tcMar>
              <w:top w:w="43" w:type="dxa"/>
              <w:left w:w="43" w:type="dxa"/>
              <w:bottom w:w="43" w:type="dxa"/>
              <w:right w:w="43" w:type="dxa"/>
            </w:tcMar>
            <w:vAlign w:val="center"/>
          </w:tcPr>
          <w:p w:rsidR="00616159" w:rsidRDefault="00616159"/>
        </w:tc>
      </w:tr>
    </w:tbl>
    <w:p w:rsidR="00616159" w:rsidRDefault="003778F4" w:rsidP="00B15D6C">
      <w:pPr>
        <w:pStyle w:val="Heading2"/>
      </w:pPr>
      <w:r>
        <w:t>A. Purpose</w:t>
      </w:r>
    </w:p>
    <w:tbl>
      <w:tblPr>
        <w:tblStyle w:val="a1"/>
        <w:tblW w:w="10584" w:type="dxa"/>
        <w:tblInd w:w="-115" w:type="dxa"/>
        <w:tblLayout w:type="fixed"/>
        <w:tblLook w:val="0600" w:firstRow="0" w:lastRow="0" w:firstColumn="0" w:lastColumn="0" w:noHBand="1" w:noVBand="1"/>
        <w:tblCaption w:val="Procedure purpose"/>
      </w:tblPr>
      <w:tblGrid>
        <w:gridCol w:w="10584"/>
      </w:tblGrid>
      <w:tr w:rsidR="00616159">
        <w:trPr>
          <w:trHeight w:val="320"/>
        </w:trPr>
        <w:tc>
          <w:tcPr>
            <w:tcW w:w="10584" w:type="dxa"/>
            <w:shd w:val="clear" w:color="auto" w:fill="FFFFFF"/>
            <w:tcMar>
              <w:left w:w="115" w:type="dxa"/>
              <w:right w:w="115" w:type="dxa"/>
            </w:tcMar>
            <w:vAlign w:val="center"/>
          </w:tcPr>
          <w:p w:rsidR="00616159" w:rsidRDefault="00134408">
            <w:pPr>
              <w:widowControl/>
            </w:pPr>
            <w:r w:rsidRPr="00134408">
              <w:rPr>
                <w:sz w:val="22"/>
                <w:szCs w:val="22"/>
              </w:rPr>
              <w:t>Guidelines for purchasing Over-the-Counter (OTC) medications/products for staff or faculty.</w:t>
            </w:r>
          </w:p>
        </w:tc>
      </w:tr>
    </w:tbl>
    <w:p w:rsidR="00616159" w:rsidRDefault="003778F4" w:rsidP="00B15D6C">
      <w:pPr>
        <w:pStyle w:val="Heading2"/>
      </w:pPr>
      <w:r>
        <w:t>B. Definitions</w:t>
      </w:r>
    </w:p>
    <w:tbl>
      <w:tblPr>
        <w:tblStyle w:val="a2"/>
        <w:tblW w:w="10584" w:type="dxa"/>
        <w:tblInd w:w="-115" w:type="dxa"/>
        <w:tblLayout w:type="fixed"/>
        <w:tblLook w:val="0600" w:firstRow="0" w:lastRow="0" w:firstColumn="0" w:lastColumn="0" w:noHBand="1" w:noVBand="1"/>
        <w:tblCaption w:val="Procedure defini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134408">
            <w:pPr>
              <w:widowControl/>
            </w:pPr>
            <w:r w:rsidRPr="00134408">
              <w:rPr>
                <w:sz w:val="22"/>
                <w:szCs w:val="22"/>
              </w:rPr>
              <w:t>OTC are medications/products which do not require a prescription to be purchased. Examples of OTCs include Sudafed (psuedoephedrine), Tylenol (acetaminophen), Aleve (naproxen), cold and cough preparations, diabetic supplies, pregnancy tests, vitamins, and bandages etc.  American National Standard Institute minimum requirements for workplace first-aid kits and supplies don’t include OTC medications, analgesics are included in a list of optional items.</w:t>
            </w:r>
          </w:p>
        </w:tc>
      </w:tr>
    </w:tbl>
    <w:p w:rsidR="00616159" w:rsidRDefault="003778F4" w:rsidP="00B15D6C">
      <w:pPr>
        <w:pStyle w:val="Heading2"/>
      </w:pPr>
      <w:r>
        <w:t>C. Procedures</w:t>
      </w:r>
    </w:p>
    <w:tbl>
      <w:tblPr>
        <w:tblStyle w:val="a3"/>
        <w:tblW w:w="10584" w:type="dxa"/>
        <w:tblInd w:w="-115" w:type="dxa"/>
        <w:tblLayout w:type="fixed"/>
        <w:tblLook w:val="0600" w:firstRow="0" w:lastRow="0" w:firstColumn="0" w:lastColumn="0" w:noHBand="1" w:noVBand="1"/>
        <w:tblCaption w:val="Procedure description(s)"/>
      </w:tblPr>
      <w:tblGrid>
        <w:gridCol w:w="10584"/>
      </w:tblGrid>
      <w:tr w:rsidR="00616159">
        <w:trPr>
          <w:trHeight w:val="320"/>
        </w:trPr>
        <w:tc>
          <w:tcPr>
            <w:tcW w:w="10584" w:type="dxa"/>
            <w:shd w:val="clear" w:color="auto" w:fill="FFFFFF"/>
            <w:tcMar>
              <w:left w:w="115" w:type="dxa"/>
              <w:right w:w="115" w:type="dxa"/>
            </w:tcMar>
            <w:vAlign w:val="center"/>
          </w:tcPr>
          <w:p w:rsidR="00616159" w:rsidRDefault="00134408">
            <w:pPr>
              <w:ind w:left="720"/>
            </w:pPr>
            <w:r w:rsidRPr="00134408">
              <w:rPr>
                <w:sz w:val="22"/>
                <w:szCs w:val="22"/>
              </w:rPr>
              <w:t xml:space="preserve">Southern Oregon University allows for the purchase of OTC medications or products providing it meets the standards and is voluntarily taken. </w:t>
            </w:r>
            <w:r>
              <w:rPr>
                <w:sz w:val="22"/>
                <w:szCs w:val="22"/>
              </w:rPr>
              <w:t>Departments and individuals will be responsible to ensure that medications are not expired and are not damaged.  Departments and individuals will read and be advised of recommended d</w:t>
            </w:r>
            <w:r w:rsidR="00355B41">
              <w:rPr>
                <w:sz w:val="22"/>
                <w:szCs w:val="22"/>
              </w:rPr>
              <w:t>rug requirements.</w:t>
            </w:r>
          </w:p>
          <w:p w:rsidR="00616159" w:rsidRDefault="00616159">
            <w:pPr>
              <w:ind w:left="720"/>
            </w:pPr>
          </w:p>
        </w:tc>
      </w:tr>
      <w:tr w:rsidR="00616159">
        <w:trPr>
          <w:trHeight w:val="320"/>
        </w:trPr>
        <w:tc>
          <w:tcPr>
            <w:tcW w:w="10584" w:type="dxa"/>
            <w:shd w:val="clear" w:color="auto" w:fill="D9D9D9"/>
            <w:tcMar>
              <w:left w:w="115" w:type="dxa"/>
              <w:right w:w="115" w:type="dxa"/>
            </w:tcMar>
          </w:tcPr>
          <w:p w:rsidR="00616159" w:rsidRDefault="003778F4">
            <w:r>
              <w:rPr>
                <w:sz w:val="22"/>
                <w:szCs w:val="22"/>
              </w:rPr>
              <w:t>This procedure may be revised at any time without notice. All revisions supersede prior procedures and are effective immediately upon approval.</w:t>
            </w:r>
          </w:p>
        </w:tc>
      </w:tr>
    </w:tbl>
    <w:p w:rsidR="00616159" w:rsidRDefault="003778F4" w:rsidP="00B15D6C">
      <w:pPr>
        <w:pStyle w:val="Heading2"/>
      </w:pPr>
      <w:r>
        <w:t>D. Appendix</w:t>
      </w:r>
    </w:p>
    <w:tbl>
      <w:tblPr>
        <w:tblStyle w:val="a4"/>
        <w:tblW w:w="10480" w:type="dxa"/>
        <w:tblInd w:w="-115" w:type="dxa"/>
        <w:tblLayout w:type="fixed"/>
        <w:tblLook w:val="0600" w:firstRow="0" w:lastRow="0" w:firstColumn="0" w:lastColumn="0" w:noHBand="1" w:noVBand="1"/>
        <w:tblCaption w:val="Procedure appendix"/>
      </w:tblPr>
      <w:tblGrid>
        <w:gridCol w:w="10480"/>
      </w:tblGrid>
      <w:tr w:rsidR="00616159">
        <w:trPr>
          <w:trHeight w:val="320"/>
        </w:trPr>
        <w:tc>
          <w:tcPr>
            <w:tcW w:w="10480" w:type="dxa"/>
            <w:shd w:val="clear" w:color="auto" w:fill="FFFFFF"/>
            <w:tcMar>
              <w:left w:w="115" w:type="dxa"/>
              <w:right w:w="115" w:type="dxa"/>
            </w:tcMar>
            <w:vAlign w:val="center"/>
          </w:tcPr>
          <w:p w:rsidR="00616159" w:rsidRDefault="00134408">
            <w:pPr>
              <w:widowControl/>
            </w:pPr>
            <w:r w:rsidRPr="00134408">
              <w:rPr>
                <w:sz w:val="22"/>
                <w:szCs w:val="22"/>
              </w:rPr>
              <w:t>ANSI Standard Z308.1-2009, the most current first-aid kit standard as of publication, says first-aid kit OTC medications should be free from ingredients that have the potential to cause drowsiness. In addition, OTC medications must meet U.S. Food and Drug Administration single-dose, tamper-evident packaging and labeling standards. Examples of acceptable OTC medications include pain relievers such as aspirin, ibuprofen and naproxen, as well as pain-relief patches, cough drops, cold, sinus and allergy medicine, and anti-diarrheal medication.</w:t>
            </w:r>
          </w:p>
        </w:tc>
      </w:tr>
    </w:tbl>
    <w:p w:rsidR="00616159" w:rsidRDefault="00616159"/>
    <w:sectPr w:rsidR="00616159">
      <w:headerReference w:type="even" r:id="rId7"/>
      <w:headerReference w:type="default" r:id="rId8"/>
      <w:footerReference w:type="even" r:id="rId9"/>
      <w:footerReference w:type="default" r:id="rId10"/>
      <w:headerReference w:type="first" r:id="rId11"/>
      <w:footerReference w:type="first" r:id="rId12"/>
      <w:pgSz w:w="12240" w:h="15840"/>
      <w:pgMar w:top="720" w:right="990" w:bottom="810" w:left="7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FB6" w:rsidRDefault="000B3FB6">
      <w:r>
        <w:separator/>
      </w:r>
    </w:p>
  </w:endnote>
  <w:endnote w:type="continuationSeparator" w:id="0">
    <w:p w:rsidR="000B3FB6" w:rsidRDefault="000B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1D5" w:rsidRDefault="00633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159" w:rsidRDefault="00616159">
    <w:pPr>
      <w:tabs>
        <w:tab w:val="right" w:pos="104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1D5" w:rsidRDefault="00633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FB6" w:rsidRDefault="000B3FB6">
      <w:r>
        <w:separator/>
      </w:r>
    </w:p>
  </w:footnote>
  <w:footnote w:type="continuationSeparator" w:id="0">
    <w:p w:rsidR="000B3FB6" w:rsidRDefault="000B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1D5" w:rsidRDefault="00633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1D5" w:rsidRDefault="00633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1D5" w:rsidRDefault="00633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159"/>
    <w:rsid w:val="000B3FB6"/>
    <w:rsid w:val="00134408"/>
    <w:rsid w:val="00355B41"/>
    <w:rsid w:val="003778F4"/>
    <w:rsid w:val="00616159"/>
    <w:rsid w:val="006331D5"/>
    <w:rsid w:val="007238A3"/>
    <w:rsid w:val="00A1161C"/>
    <w:rsid w:val="00AB77A1"/>
    <w:rsid w:val="00AD1C08"/>
    <w:rsid w:val="00B15D6C"/>
    <w:rsid w:val="00B166AB"/>
    <w:rsid w:val="00B83F8B"/>
    <w:rsid w:val="00C8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EA1810E-4CB4-46A2-A4FC-FEEE2A0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B15D6C"/>
    <w:pPr>
      <w:keepNext/>
      <w:keepLines/>
      <w:spacing w:before="480" w:after="120"/>
      <w:outlineLvl w:val="0"/>
    </w:pPr>
    <w:rPr>
      <w:b/>
      <w:szCs w:val="48"/>
    </w:rPr>
  </w:style>
  <w:style w:type="paragraph" w:styleId="Heading2">
    <w:name w:val="heading 2"/>
    <w:basedOn w:val="Normal"/>
    <w:next w:val="Normal"/>
    <w:rsid w:val="00B15D6C"/>
    <w:pPr>
      <w:keepNext/>
      <w:keepLines/>
      <w:spacing w:before="360" w:after="80"/>
      <w:outlineLvl w:val="1"/>
    </w:pPr>
    <w:rPr>
      <w:b/>
      <w:szCs w:val="36"/>
    </w:rPr>
  </w:style>
  <w:style w:type="paragraph" w:styleId="Heading3">
    <w:name w:val="heading 3"/>
    <w:basedOn w:val="Normal"/>
    <w:next w:val="Normal"/>
    <w:pPr>
      <w:keepNext/>
      <w:keepLines/>
      <w:spacing w:before="100" w:after="100"/>
      <w:outlineLvl w:val="2"/>
    </w:pPr>
    <w:rPr>
      <w:b/>
      <w:sz w:val="26"/>
      <w:szCs w:val="26"/>
    </w:rPr>
  </w:style>
  <w:style w:type="paragraph" w:styleId="Heading4">
    <w:name w:val="heading 4"/>
    <w:basedOn w:val="Normal"/>
    <w:next w:val="Normal"/>
    <w:pPr>
      <w:keepNext/>
      <w:keepLines/>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331D5"/>
    <w:pPr>
      <w:tabs>
        <w:tab w:val="center" w:pos="4680"/>
        <w:tab w:val="right" w:pos="9360"/>
      </w:tabs>
    </w:pPr>
  </w:style>
  <w:style w:type="character" w:customStyle="1" w:styleId="HeaderChar">
    <w:name w:val="Header Char"/>
    <w:basedOn w:val="DefaultParagraphFont"/>
    <w:link w:val="Header"/>
    <w:uiPriority w:val="99"/>
    <w:rsid w:val="006331D5"/>
  </w:style>
  <w:style w:type="paragraph" w:styleId="Footer">
    <w:name w:val="footer"/>
    <w:basedOn w:val="Normal"/>
    <w:link w:val="FooterChar"/>
    <w:uiPriority w:val="99"/>
    <w:unhideWhenUsed/>
    <w:rsid w:val="006331D5"/>
    <w:pPr>
      <w:tabs>
        <w:tab w:val="center" w:pos="4680"/>
        <w:tab w:val="right" w:pos="9360"/>
      </w:tabs>
    </w:pPr>
  </w:style>
  <w:style w:type="character" w:customStyle="1" w:styleId="FooterChar">
    <w:name w:val="Footer Char"/>
    <w:basedOn w:val="DefaultParagraphFont"/>
    <w:link w:val="Footer"/>
    <w:uiPriority w:val="99"/>
    <w:rsid w:val="0063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 DSS</dc:creator>
  <cp:lastModifiedBy>Microsoft Office User</cp:lastModifiedBy>
  <cp:revision>2</cp:revision>
  <dcterms:created xsi:type="dcterms:W3CDTF">2025-04-02T18:03:00Z</dcterms:created>
  <dcterms:modified xsi:type="dcterms:W3CDTF">2025-04-02T18:03:00Z</dcterms:modified>
</cp:coreProperties>
</file>